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9B1" w:rsidRPr="005A30B2" w:rsidRDefault="00E97920" w:rsidP="005A30B2">
      <w:pPr>
        <w:pBdr>
          <w:top w:val="single" w:sz="12" w:space="1" w:color="17365D"/>
        </w:pBdr>
        <w:shd w:val="clear" w:color="auto" w:fill="C6D9F1"/>
        <w:spacing w:before="120" w:after="240"/>
        <w:rPr>
          <w:rFonts w:eastAsia="Calibri"/>
          <w:b/>
          <w:color w:val="003366"/>
          <w:sz w:val="28"/>
        </w:rPr>
      </w:pPr>
      <w:r>
        <w:rPr>
          <w:rFonts w:eastAsia="Calibri"/>
          <w:b/>
          <w:color w:val="003366"/>
          <w:sz w:val="28"/>
        </w:rPr>
        <w:t>Document 6</w:t>
      </w:r>
      <w:r w:rsidR="008C29B1" w:rsidRPr="005A30B2">
        <w:rPr>
          <w:rFonts w:eastAsia="Calibri"/>
          <w:b/>
          <w:color w:val="003366"/>
          <w:sz w:val="28"/>
        </w:rPr>
        <w:t> : Extrait</w:t>
      </w:r>
      <w:r w:rsidR="000D5410">
        <w:rPr>
          <w:rFonts w:eastAsia="Calibri"/>
          <w:b/>
          <w:color w:val="003366"/>
          <w:sz w:val="28"/>
        </w:rPr>
        <w:t>s</w:t>
      </w:r>
      <w:r w:rsidR="008C29B1" w:rsidRPr="005A30B2">
        <w:rPr>
          <w:rFonts w:eastAsia="Calibri"/>
          <w:b/>
          <w:color w:val="003366"/>
          <w:sz w:val="28"/>
        </w:rPr>
        <w:t xml:space="preserve"> du méme</w:t>
      </w:r>
      <w:r w:rsidR="00645386">
        <w:rPr>
          <w:rFonts w:eastAsia="Calibri"/>
          <w:b/>
          <w:color w:val="003366"/>
          <w:sz w:val="28"/>
        </w:rPr>
        <w:t>nto fiscal Francis Lefebvre 2017</w:t>
      </w:r>
    </w:p>
    <w:p w:rsidR="008B5A8D" w:rsidRPr="00643568" w:rsidRDefault="008B5A8D" w:rsidP="008B5A8D">
      <w:pPr>
        <w:pStyle w:val="Corpsdetexte"/>
        <w:rPr>
          <w:b/>
          <w:sz w:val="22"/>
          <w:szCs w:val="22"/>
        </w:rPr>
      </w:pPr>
    </w:p>
    <w:p w:rsidR="00E33CFA" w:rsidRPr="00643568" w:rsidRDefault="000C137C" w:rsidP="008B5A8D">
      <w:pPr>
        <w:pStyle w:val="Corpsdetexte"/>
        <w:rPr>
          <w:b/>
          <w:i/>
          <w:sz w:val="28"/>
          <w:szCs w:val="28"/>
        </w:rPr>
      </w:pPr>
      <w:r w:rsidRPr="00643568">
        <w:rPr>
          <w:b/>
          <w:i/>
          <w:sz w:val="28"/>
          <w:szCs w:val="28"/>
        </w:rPr>
        <w:t>Informations relatives à la TVA</w:t>
      </w:r>
    </w:p>
    <w:p w:rsidR="00E33CFA" w:rsidRPr="00643568" w:rsidRDefault="00E33CFA" w:rsidP="008B5A8D">
      <w:pPr>
        <w:pStyle w:val="Corpsdetexte"/>
        <w:rPr>
          <w:b/>
          <w:sz w:val="22"/>
          <w:szCs w:val="22"/>
        </w:rPr>
      </w:pPr>
    </w:p>
    <w:p w:rsidR="000B078E" w:rsidRPr="00595D41" w:rsidRDefault="008B5A8D" w:rsidP="008B5A8D">
      <w:pPr>
        <w:spacing w:after="0" w:line="240" w:lineRule="auto"/>
        <w:jc w:val="both"/>
        <w:rPr>
          <w:rFonts w:ascii="Times New Roman" w:hAnsi="Times New Roman" w:cs="Times New Roman"/>
          <w:sz w:val="24"/>
          <w:szCs w:val="24"/>
        </w:rPr>
      </w:pPr>
      <w:r w:rsidRPr="00595D41">
        <w:rPr>
          <w:rFonts w:ascii="Times New Roman" w:hAnsi="Times New Roman" w:cs="Times New Roman"/>
          <w:b/>
          <w:sz w:val="24"/>
          <w:szCs w:val="24"/>
        </w:rPr>
        <w:t xml:space="preserve">§ </w:t>
      </w:r>
      <w:r w:rsidR="000B078E" w:rsidRPr="00595D41">
        <w:rPr>
          <w:rFonts w:ascii="Times New Roman" w:hAnsi="Times New Roman" w:cs="Times New Roman"/>
          <w:b/>
          <w:sz w:val="24"/>
          <w:szCs w:val="24"/>
        </w:rPr>
        <w:t>52645</w:t>
      </w:r>
      <w:r w:rsidRPr="00595D41">
        <w:rPr>
          <w:rFonts w:ascii="Times New Roman" w:hAnsi="Times New Roman" w:cs="Times New Roman"/>
          <w:b/>
          <w:sz w:val="24"/>
          <w:szCs w:val="24"/>
        </w:rPr>
        <w:t> :</w:t>
      </w:r>
      <w:r w:rsidR="000B078E" w:rsidRPr="00595D41">
        <w:rPr>
          <w:rFonts w:ascii="Times New Roman" w:hAnsi="Times New Roman" w:cs="Times New Roman"/>
          <w:b/>
          <w:sz w:val="24"/>
          <w:szCs w:val="24"/>
        </w:rPr>
        <w:t xml:space="preserve"> Prestations de services – Règles générales</w:t>
      </w:r>
    </w:p>
    <w:p w:rsidR="008B5A8D" w:rsidRPr="00643568" w:rsidRDefault="000B078E" w:rsidP="008B5A8D">
      <w:pPr>
        <w:spacing w:after="0" w:line="240" w:lineRule="auto"/>
        <w:jc w:val="both"/>
        <w:rPr>
          <w:rFonts w:ascii="Times New Roman" w:hAnsi="Times New Roman" w:cs="Times New Roman"/>
        </w:rPr>
      </w:pPr>
      <w:r w:rsidRPr="00643568">
        <w:rPr>
          <w:rFonts w:ascii="Times New Roman" w:hAnsi="Times New Roman" w:cs="Times New Roman"/>
        </w:rPr>
        <w:t xml:space="preserve">« …le principe est que </w:t>
      </w:r>
      <w:r w:rsidR="008B5A8D" w:rsidRPr="00643568">
        <w:rPr>
          <w:rFonts w:ascii="Times New Roman" w:hAnsi="Times New Roman" w:cs="Times New Roman"/>
        </w:rPr>
        <w:t xml:space="preserve">la TVA afférente aux prestations de services est exigible lors de </w:t>
      </w:r>
      <w:r w:rsidR="008B5A8D" w:rsidRPr="00643568">
        <w:rPr>
          <w:rFonts w:ascii="Times New Roman" w:hAnsi="Times New Roman" w:cs="Times New Roman"/>
          <w:b/>
        </w:rPr>
        <w:t>l’encaissement</w:t>
      </w:r>
      <w:r w:rsidR="008B5A8D" w:rsidRPr="00643568">
        <w:rPr>
          <w:rFonts w:ascii="Times New Roman" w:hAnsi="Times New Roman" w:cs="Times New Roman"/>
        </w:rPr>
        <w:t xml:space="preserve"> des acomptes, du prix ou de la rémunération.</w:t>
      </w:r>
    </w:p>
    <w:p w:rsidR="008B5A8D" w:rsidRPr="00643568" w:rsidRDefault="008B5A8D" w:rsidP="008B5A8D">
      <w:pPr>
        <w:spacing w:after="0" w:line="240" w:lineRule="auto"/>
        <w:jc w:val="both"/>
        <w:rPr>
          <w:rFonts w:ascii="Times New Roman" w:hAnsi="Times New Roman" w:cs="Times New Roman"/>
        </w:rPr>
      </w:pPr>
      <w:r w:rsidRPr="00643568">
        <w:rPr>
          <w:rFonts w:ascii="Times New Roman" w:hAnsi="Times New Roman" w:cs="Times New Roman"/>
        </w:rPr>
        <w:t xml:space="preserve">La taxe peut cependant, sur </w:t>
      </w:r>
      <w:r w:rsidRPr="00643568">
        <w:rPr>
          <w:rFonts w:ascii="Times New Roman" w:hAnsi="Times New Roman" w:cs="Times New Roman"/>
          <w:b/>
        </w:rPr>
        <w:t>option</w:t>
      </w:r>
      <w:r w:rsidRPr="00643568">
        <w:rPr>
          <w:rFonts w:ascii="Times New Roman" w:hAnsi="Times New Roman" w:cs="Times New Roman"/>
        </w:rPr>
        <w:t xml:space="preserve">, être exigible d’après les </w:t>
      </w:r>
      <w:r w:rsidRPr="00643568">
        <w:rPr>
          <w:rFonts w:ascii="Times New Roman" w:hAnsi="Times New Roman" w:cs="Times New Roman"/>
          <w:b/>
        </w:rPr>
        <w:t>débits</w:t>
      </w:r>
      <w:r w:rsidR="000B078E" w:rsidRPr="00643568">
        <w:rPr>
          <w:rFonts w:ascii="Times New Roman" w:hAnsi="Times New Roman" w:cs="Times New Roman"/>
          <w:b/>
        </w:rPr>
        <w:t xml:space="preserve"> </w:t>
      </w:r>
      <w:r w:rsidR="000B078E" w:rsidRPr="00643568">
        <w:rPr>
          <w:rFonts w:ascii="Times New Roman" w:hAnsi="Times New Roman" w:cs="Times New Roman"/>
        </w:rPr>
        <w:t>(n° 52665)</w:t>
      </w:r>
      <w:r w:rsidRPr="00643568">
        <w:rPr>
          <w:rFonts w:ascii="Times New Roman" w:hAnsi="Times New Roman" w:cs="Times New Roman"/>
        </w:rPr>
        <w:t>. »</w:t>
      </w:r>
    </w:p>
    <w:p w:rsidR="00D60D4E" w:rsidRPr="00643568" w:rsidRDefault="00D60D4E" w:rsidP="008B5A8D">
      <w:pPr>
        <w:spacing w:after="0" w:line="240" w:lineRule="auto"/>
        <w:jc w:val="both"/>
        <w:rPr>
          <w:rFonts w:ascii="Times New Roman" w:hAnsi="Times New Roman" w:cs="Times New Roman"/>
        </w:rPr>
      </w:pPr>
    </w:p>
    <w:p w:rsidR="00EA7915" w:rsidRPr="00595D41" w:rsidRDefault="008B5A8D" w:rsidP="008B5A8D">
      <w:pPr>
        <w:spacing w:after="0" w:line="240" w:lineRule="auto"/>
        <w:jc w:val="both"/>
        <w:rPr>
          <w:rFonts w:ascii="Times New Roman" w:hAnsi="Times New Roman" w:cs="Times New Roman"/>
          <w:sz w:val="24"/>
          <w:szCs w:val="24"/>
        </w:rPr>
      </w:pPr>
      <w:r w:rsidRPr="00595D41">
        <w:rPr>
          <w:rFonts w:ascii="Times New Roman" w:hAnsi="Times New Roman" w:cs="Times New Roman"/>
          <w:b/>
          <w:sz w:val="24"/>
          <w:szCs w:val="24"/>
        </w:rPr>
        <w:t xml:space="preserve">§ </w:t>
      </w:r>
      <w:r w:rsidR="000B078E" w:rsidRPr="00595D41">
        <w:rPr>
          <w:rFonts w:ascii="Times New Roman" w:hAnsi="Times New Roman" w:cs="Times New Roman"/>
          <w:b/>
          <w:sz w:val="24"/>
          <w:szCs w:val="24"/>
        </w:rPr>
        <w:t>52665</w:t>
      </w:r>
      <w:r w:rsidRPr="00595D41">
        <w:rPr>
          <w:rFonts w:ascii="Times New Roman" w:hAnsi="Times New Roman" w:cs="Times New Roman"/>
          <w:b/>
          <w:sz w:val="24"/>
          <w:szCs w:val="24"/>
        </w:rPr>
        <w:t> :</w:t>
      </w:r>
      <w:r w:rsidR="00EA7915" w:rsidRPr="00595D41">
        <w:rPr>
          <w:rFonts w:ascii="Times New Roman" w:hAnsi="Times New Roman" w:cs="Times New Roman"/>
          <w:b/>
          <w:sz w:val="24"/>
          <w:szCs w:val="24"/>
        </w:rPr>
        <w:t xml:space="preserve"> Option pour le paiement d’après les débits</w:t>
      </w:r>
    </w:p>
    <w:p w:rsidR="008B5A8D" w:rsidRPr="00643568" w:rsidRDefault="008B5A8D" w:rsidP="008B5A8D">
      <w:pPr>
        <w:spacing w:after="0" w:line="240" w:lineRule="auto"/>
        <w:jc w:val="both"/>
        <w:rPr>
          <w:rFonts w:ascii="Times New Roman" w:hAnsi="Times New Roman" w:cs="Times New Roman"/>
        </w:rPr>
      </w:pPr>
      <w:r w:rsidRPr="00643568">
        <w:rPr>
          <w:rFonts w:ascii="Times New Roman" w:hAnsi="Times New Roman" w:cs="Times New Roman"/>
        </w:rPr>
        <w:t xml:space="preserve">« …Le débit </w:t>
      </w:r>
      <w:r w:rsidR="000C137C" w:rsidRPr="00643568">
        <w:rPr>
          <w:rFonts w:ascii="Times New Roman" w:hAnsi="Times New Roman" w:cs="Times New Roman"/>
        </w:rPr>
        <w:t xml:space="preserve">(c’est-à-dire l’inscription de la somme correspondante au débit du compte « client ») </w:t>
      </w:r>
      <w:r w:rsidRPr="00643568">
        <w:rPr>
          <w:rFonts w:ascii="Times New Roman" w:hAnsi="Times New Roman" w:cs="Times New Roman"/>
        </w:rPr>
        <w:t xml:space="preserve">coïncide, en principe, avec la </w:t>
      </w:r>
      <w:r w:rsidRPr="00643568">
        <w:rPr>
          <w:rFonts w:ascii="Times New Roman" w:hAnsi="Times New Roman" w:cs="Times New Roman"/>
          <w:b/>
        </w:rPr>
        <w:t>facturation</w:t>
      </w:r>
      <w:r w:rsidR="000C137C" w:rsidRPr="00643568">
        <w:rPr>
          <w:rFonts w:ascii="Times New Roman" w:hAnsi="Times New Roman" w:cs="Times New Roman"/>
        </w:rPr>
        <w:t>. L’administration considère cependant que le paiement de l’impôt d’après les débit</w:t>
      </w:r>
      <w:r w:rsidR="00B6117C" w:rsidRPr="00643568">
        <w:rPr>
          <w:rFonts w:ascii="Times New Roman" w:hAnsi="Times New Roman" w:cs="Times New Roman"/>
        </w:rPr>
        <w:t xml:space="preserve">s ne peut pas avoir pour effet de permettre </w:t>
      </w:r>
      <w:r w:rsidR="009D4782" w:rsidRPr="00643568">
        <w:rPr>
          <w:rFonts w:ascii="Times New Roman" w:hAnsi="Times New Roman" w:cs="Times New Roman"/>
        </w:rPr>
        <w:t xml:space="preserve">au contribuable de </w:t>
      </w:r>
      <w:r w:rsidR="009D4782" w:rsidRPr="00643568">
        <w:rPr>
          <w:rFonts w:ascii="Times New Roman" w:hAnsi="Times New Roman" w:cs="Times New Roman"/>
          <w:b/>
        </w:rPr>
        <w:t>s’acquitter</w:t>
      </w:r>
      <w:r w:rsidR="009D4782" w:rsidRPr="00643568">
        <w:rPr>
          <w:rFonts w:ascii="Times New Roman" w:hAnsi="Times New Roman" w:cs="Times New Roman"/>
        </w:rPr>
        <w:t xml:space="preserve"> de la TVA </w:t>
      </w:r>
      <w:r w:rsidR="009D4782" w:rsidRPr="00643568">
        <w:rPr>
          <w:rFonts w:ascii="Times New Roman" w:hAnsi="Times New Roman" w:cs="Times New Roman"/>
          <w:b/>
        </w:rPr>
        <w:t>postérieurement à l’encaissement</w:t>
      </w:r>
      <w:r w:rsidR="009D4782" w:rsidRPr="00643568">
        <w:rPr>
          <w:rFonts w:ascii="Times New Roman" w:hAnsi="Times New Roman" w:cs="Times New Roman"/>
        </w:rPr>
        <w:t xml:space="preserve"> des acomptes, du prix ou de la rémunération des services, même s’ils ne correspondent pas à une exécution partielle du service fourni</w:t>
      </w:r>
      <w:r w:rsidR="004045F0" w:rsidRPr="00643568">
        <w:rPr>
          <w:rFonts w:ascii="Times New Roman" w:hAnsi="Times New Roman" w:cs="Times New Roman"/>
        </w:rPr>
        <w:t>..</w:t>
      </w:r>
      <w:r w:rsidRPr="00643568">
        <w:rPr>
          <w:rFonts w:ascii="Times New Roman" w:hAnsi="Times New Roman" w:cs="Times New Roman"/>
        </w:rPr>
        <w:t>. »</w:t>
      </w:r>
    </w:p>
    <w:p w:rsidR="005A30B2" w:rsidRPr="00643568" w:rsidRDefault="005A30B2" w:rsidP="00166DA3">
      <w:pPr>
        <w:pStyle w:val="Corpsdetexte"/>
        <w:rPr>
          <w:b/>
          <w:sz w:val="22"/>
          <w:szCs w:val="22"/>
        </w:rPr>
      </w:pPr>
    </w:p>
    <w:p w:rsidR="007C6EAE" w:rsidRPr="00595D41" w:rsidRDefault="007C6EAE" w:rsidP="007C6EAE">
      <w:pPr>
        <w:spacing w:after="0" w:line="240" w:lineRule="auto"/>
        <w:jc w:val="both"/>
        <w:rPr>
          <w:rFonts w:ascii="Times New Roman" w:hAnsi="Times New Roman" w:cs="Times New Roman"/>
          <w:sz w:val="24"/>
          <w:szCs w:val="24"/>
        </w:rPr>
      </w:pPr>
      <w:r w:rsidRPr="00595D41">
        <w:rPr>
          <w:rFonts w:ascii="Times New Roman" w:hAnsi="Times New Roman" w:cs="Times New Roman"/>
          <w:b/>
          <w:sz w:val="24"/>
          <w:szCs w:val="24"/>
        </w:rPr>
        <w:t xml:space="preserve">§ </w:t>
      </w:r>
      <w:r w:rsidR="004045F0" w:rsidRPr="00595D41">
        <w:rPr>
          <w:rFonts w:ascii="Times New Roman" w:hAnsi="Times New Roman" w:cs="Times New Roman"/>
          <w:b/>
          <w:sz w:val="24"/>
          <w:szCs w:val="24"/>
        </w:rPr>
        <w:t>56320</w:t>
      </w:r>
      <w:r w:rsidRPr="00595D41">
        <w:rPr>
          <w:rFonts w:ascii="Times New Roman" w:hAnsi="Times New Roman" w:cs="Times New Roman"/>
          <w:b/>
          <w:sz w:val="24"/>
          <w:szCs w:val="24"/>
        </w:rPr>
        <w:t xml:space="preserve"> : </w:t>
      </w:r>
      <w:r w:rsidR="004045F0" w:rsidRPr="00595D41">
        <w:rPr>
          <w:rFonts w:ascii="Times New Roman" w:hAnsi="Times New Roman" w:cs="Times New Roman"/>
          <w:b/>
          <w:sz w:val="24"/>
          <w:szCs w:val="24"/>
        </w:rPr>
        <w:t>Naissance du droit à déduction et date de la déduction</w:t>
      </w:r>
    </w:p>
    <w:p w:rsidR="009242C4" w:rsidRPr="00643568" w:rsidRDefault="007C6EAE" w:rsidP="007C6EAE">
      <w:pPr>
        <w:spacing w:after="0" w:line="240" w:lineRule="auto"/>
        <w:jc w:val="both"/>
        <w:rPr>
          <w:rFonts w:ascii="Times New Roman" w:hAnsi="Times New Roman" w:cs="Times New Roman"/>
        </w:rPr>
      </w:pPr>
      <w:r w:rsidRPr="00643568">
        <w:rPr>
          <w:rFonts w:ascii="Times New Roman" w:hAnsi="Times New Roman" w:cs="Times New Roman"/>
        </w:rPr>
        <w:t>« …</w:t>
      </w:r>
      <w:r w:rsidR="004045F0" w:rsidRPr="00643568">
        <w:rPr>
          <w:rFonts w:ascii="Times New Roman" w:hAnsi="Times New Roman" w:cs="Times New Roman"/>
        </w:rPr>
        <w:t xml:space="preserve">Le droit à déduction prend naissance </w:t>
      </w:r>
      <w:r w:rsidR="004045F0" w:rsidRPr="00643568">
        <w:rPr>
          <w:rFonts w:ascii="Times New Roman" w:hAnsi="Times New Roman" w:cs="Times New Roman"/>
          <w:b/>
        </w:rPr>
        <w:t xml:space="preserve">lorsque la </w:t>
      </w:r>
      <w:r w:rsidR="00B52FD9" w:rsidRPr="00643568">
        <w:rPr>
          <w:rFonts w:ascii="Times New Roman" w:hAnsi="Times New Roman" w:cs="Times New Roman"/>
          <w:b/>
        </w:rPr>
        <w:t>t</w:t>
      </w:r>
      <w:r w:rsidR="004045F0" w:rsidRPr="00643568">
        <w:rPr>
          <w:rFonts w:ascii="Times New Roman" w:hAnsi="Times New Roman" w:cs="Times New Roman"/>
          <w:b/>
        </w:rPr>
        <w:t>axe « d’amont »</w:t>
      </w:r>
      <w:r w:rsidR="004045F0" w:rsidRPr="00643568">
        <w:rPr>
          <w:rFonts w:ascii="Times New Roman" w:hAnsi="Times New Roman" w:cs="Times New Roman"/>
        </w:rPr>
        <w:t xml:space="preserve"> afférente à l’opération </w:t>
      </w:r>
      <w:r w:rsidR="009242C4" w:rsidRPr="00643568">
        <w:rPr>
          <w:rFonts w:ascii="Times New Roman" w:hAnsi="Times New Roman" w:cs="Times New Roman"/>
        </w:rPr>
        <w:t xml:space="preserve">motivant la déduction (vente, prestation de service…) </w:t>
      </w:r>
      <w:r w:rsidR="004045F0" w:rsidRPr="00643568">
        <w:rPr>
          <w:rFonts w:ascii="Times New Roman" w:hAnsi="Times New Roman" w:cs="Times New Roman"/>
          <w:b/>
        </w:rPr>
        <w:t>devient exigible</w:t>
      </w:r>
      <w:r w:rsidR="004045F0" w:rsidRPr="00643568">
        <w:rPr>
          <w:rFonts w:ascii="Times New Roman" w:hAnsi="Times New Roman" w:cs="Times New Roman"/>
        </w:rPr>
        <w:t xml:space="preserve"> chez le redevable de cette taxe, c’est-à-dire </w:t>
      </w:r>
      <w:r w:rsidR="004045F0" w:rsidRPr="00643568">
        <w:rPr>
          <w:rFonts w:ascii="Times New Roman" w:hAnsi="Times New Roman" w:cs="Times New Roman"/>
          <w:b/>
        </w:rPr>
        <w:t>chez le fournisseur</w:t>
      </w:r>
      <w:r w:rsidR="004045F0" w:rsidRPr="00643568">
        <w:rPr>
          <w:rFonts w:ascii="Times New Roman" w:hAnsi="Times New Roman" w:cs="Times New Roman"/>
        </w:rPr>
        <w:t xml:space="preserve"> des biens ou des services dans le cas général…</w:t>
      </w:r>
    </w:p>
    <w:p w:rsidR="007C6EAE" w:rsidRPr="00643568" w:rsidRDefault="009242C4" w:rsidP="007C6EAE">
      <w:pPr>
        <w:spacing w:after="0" w:line="240" w:lineRule="auto"/>
        <w:jc w:val="both"/>
        <w:rPr>
          <w:rFonts w:ascii="Times New Roman" w:hAnsi="Times New Roman" w:cs="Times New Roman"/>
        </w:rPr>
      </w:pPr>
      <w:r w:rsidRPr="00643568">
        <w:rPr>
          <w:rFonts w:ascii="Times New Roman" w:hAnsi="Times New Roman" w:cs="Times New Roman"/>
        </w:rPr>
        <w:t>La naissance du droit à déduction coïncide donc avec la date d’exigibilité de la taxe « d’amont » correspondante</w:t>
      </w:r>
      <w:r w:rsidR="00125A97" w:rsidRPr="00643568">
        <w:rPr>
          <w:rFonts w:ascii="Times New Roman" w:hAnsi="Times New Roman" w:cs="Times New Roman"/>
        </w:rPr>
        <w:t>…</w:t>
      </w:r>
      <w:r w:rsidR="007C6EAE" w:rsidRPr="00643568">
        <w:rPr>
          <w:rFonts w:ascii="Times New Roman" w:hAnsi="Times New Roman" w:cs="Times New Roman"/>
        </w:rPr>
        <w:t> »</w:t>
      </w:r>
    </w:p>
    <w:p w:rsidR="007C6EAE" w:rsidRPr="00643568" w:rsidRDefault="007C6EAE" w:rsidP="00166DA3">
      <w:pPr>
        <w:pStyle w:val="Corpsdetexte"/>
        <w:rPr>
          <w:b/>
          <w:sz w:val="22"/>
          <w:szCs w:val="22"/>
        </w:rPr>
      </w:pPr>
    </w:p>
    <w:p w:rsidR="007C6EAE" w:rsidRPr="00643568" w:rsidRDefault="007C6EAE" w:rsidP="00166DA3">
      <w:pPr>
        <w:pStyle w:val="Corpsdetexte"/>
        <w:rPr>
          <w:b/>
          <w:sz w:val="22"/>
          <w:szCs w:val="22"/>
        </w:rPr>
      </w:pPr>
    </w:p>
    <w:p w:rsidR="002408B4" w:rsidRPr="00595D41" w:rsidRDefault="002A4EB2" w:rsidP="002A4EB2">
      <w:pPr>
        <w:pStyle w:val="Corpsdetexte"/>
        <w:rPr>
          <w:b/>
          <w:sz w:val="24"/>
          <w:szCs w:val="24"/>
        </w:rPr>
      </w:pPr>
      <w:r w:rsidRPr="00595D41">
        <w:rPr>
          <w:b/>
          <w:sz w:val="24"/>
          <w:szCs w:val="24"/>
        </w:rPr>
        <w:t xml:space="preserve">§ 55885 : </w:t>
      </w:r>
      <w:r w:rsidR="002408B4" w:rsidRPr="00595D41">
        <w:rPr>
          <w:b/>
          <w:sz w:val="24"/>
          <w:szCs w:val="24"/>
        </w:rPr>
        <w:t>Dépenses de logement au profit des dirigeants ou du personnel</w:t>
      </w:r>
    </w:p>
    <w:p w:rsidR="0034483A" w:rsidRPr="00643568" w:rsidRDefault="002A4EB2" w:rsidP="002A4EB2">
      <w:pPr>
        <w:pStyle w:val="Corpsdetexte"/>
        <w:rPr>
          <w:sz w:val="22"/>
          <w:szCs w:val="22"/>
        </w:rPr>
      </w:pPr>
      <w:r w:rsidRPr="00643568">
        <w:rPr>
          <w:b/>
          <w:sz w:val="22"/>
          <w:szCs w:val="22"/>
        </w:rPr>
        <w:t>« </w:t>
      </w:r>
      <w:r w:rsidRPr="00643568">
        <w:rPr>
          <w:sz w:val="22"/>
          <w:szCs w:val="22"/>
        </w:rPr>
        <w:t xml:space="preserve">Le coefficient d’admission est nul lorsque le bien ou le service est relatif à la </w:t>
      </w:r>
      <w:r w:rsidRPr="00643568">
        <w:rPr>
          <w:b/>
          <w:sz w:val="22"/>
          <w:szCs w:val="22"/>
        </w:rPr>
        <w:t>fourniture à titre gratuit</w:t>
      </w:r>
      <w:r w:rsidRPr="00643568">
        <w:rPr>
          <w:sz w:val="22"/>
          <w:szCs w:val="22"/>
        </w:rPr>
        <w:t xml:space="preserve"> du logement des dirigeants ou</w:t>
      </w:r>
      <w:r w:rsidR="0034483A" w:rsidRPr="00643568">
        <w:rPr>
          <w:sz w:val="22"/>
          <w:szCs w:val="22"/>
        </w:rPr>
        <w:t xml:space="preserve"> du personnel de l’entrepr</w:t>
      </w:r>
      <w:r w:rsidR="009476AE" w:rsidRPr="00643568">
        <w:rPr>
          <w:sz w:val="22"/>
          <w:szCs w:val="22"/>
        </w:rPr>
        <w:t>ise, à l’</w:t>
      </w:r>
      <w:r w:rsidR="009476AE" w:rsidRPr="00643568">
        <w:rPr>
          <w:b/>
          <w:sz w:val="22"/>
          <w:szCs w:val="22"/>
        </w:rPr>
        <w:t>exception</w:t>
      </w:r>
      <w:r w:rsidR="009476AE" w:rsidRPr="00643568">
        <w:rPr>
          <w:sz w:val="22"/>
          <w:szCs w:val="22"/>
        </w:rPr>
        <w:t xml:space="preserve"> de celui du </w:t>
      </w:r>
      <w:r w:rsidR="009476AE" w:rsidRPr="00643568">
        <w:rPr>
          <w:b/>
          <w:sz w:val="22"/>
          <w:szCs w:val="22"/>
        </w:rPr>
        <w:t>personnel de gardiennage, de sécurité ou de surveillance</w:t>
      </w:r>
      <w:r w:rsidR="009476AE" w:rsidRPr="00643568">
        <w:rPr>
          <w:sz w:val="22"/>
          <w:szCs w:val="22"/>
        </w:rPr>
        <w:t xml:space="preserve"> sur les chantiers ou dans les locaux de l’entreprise.</w:t>
      </w:r>
    </w:p>
    <w:p w:rsidR="004E73B2" w:rsidRPr="00643568" w:rsidRDefault="004E73B2" w:rsidP="002A4EB2">
      <w:pPr>
        <w:pStyle w:val="Corpsdetexte"/>
        <w:rPr>
          <w:sz w:val="22"/>
          <w:szCs w:val="22"/>
        </w:rPr>
      </w:pPr>
      <w:r w:rsidRPr="00643568">
        <w:rPr>
          <w:sz w:val="22"/>
          <w:szCs w:val="22"/>
        </w:rPr>
        <w:t xml:space="preserve">En revanche, la fourniture à titre gratuit du logement à des </w:t>
      </w:r>
      <w:r w:rsidRPr="00643568">
        <w:rPr>
          <w:b/>
          <w:sz w:val="22"/>
          <w:szCs w:val="22"/>
        </w:rPr>
        <w:t>tiers</w:t>
      </w:r>
      <w:r w:rsidRPr="00643568">
        <w:rPr>
          <w:sz w:val="22"/>
          <w:szCs w:val="22"/>
        </w:rPr>
        <w:t xml:space="preserve"> à l’entreprise ouvre droit à déduction, sous réserve que les dépenses correspondantes soient engagées dans l’intérêt de l’entreprise</w:t>
      </w:r>
      <w:r w:rsidR="00314AB0" w:rsidRPr="00643568">
        <w:rPr>
          <w:sz w:val="22"/>
          <w:szCs w:val="22"/>
        </w:rPr>
        <w:t>. La fourniture à titre gratuit du logement à des tiers est donc affecté en principe, d’un coefficient d’admission de un.</w:t>
      </w:r>
    </w:p>
    <w:p w:rsidR="002A4EB2" w:rsidRPr="00643568" w:rsidRDefault="0015248B" w:rsidP="002A4EB2">
      <w:pPr>
        <w:pStyle w:val="Corpsdetexte"/>
        <w:rPr>
          <w:sz w:val="22"/>
          <w:szCs w:val="22"/>
        </w:rPr>
      </w:pPr>
      <w:r w:rsidRPr="00643568">
        <w:rPr>
          <w:sz w:val="22"/>
          <w:szCs w:val="22"/>
          <w:bdr w:val="single" w:sz="4" w:space="0" w:color="auto"/>
        </w:rPr>
        <w:t>Précisions</w:t>
      </w:r>
      <w:r w:rsidRPr="00643568">
        <w:rPr>
          <w:sz w:val="22"/>
          <w:szCs w:val="22"/>
        </w:rPr>
        <w:t xml:space="preserve"> 1.</w:t>
      </w:r>
      <w:r w:rsidR="00853599" w:rsidRPr="00643568">
        <w:rPr>
          <w:sz w:val="22"/>
          <w:szCs w:val="22"/>
        </w:rPr>
        <w:t xml:space="preserve"> </w:t>
      </w:r>
      <w:r w:rsidR="00314AB0" w:rsidRPr="00643568">
        <w:rPr>
          <w:sz w:val="22"/>
          <w:szCs w:val="22"/>
        </w:rPr>
        <w:t>La</w:t>
      </w:r>
      <w:r w:rsidR="002A4EB2" w:rsidRPr="00643568">
        <w:rPr>
          <w:sz w:val="22"/>
          <w:szCs w:val="22"/>
        </w:rPr>
        <w:t xml:space="preserve"> notion de dépenses de logement inclut les dépenses d’</w:t>
      </w:r>
      <w:r w:rsidR="002A4EB2" w:rsidRPr="00643568">
        <w:rPr>
          <w:b/>
          <w:sz w:val="22"/>
          <w:szCs w:val="22"/>
        </w:rPr>
        <w:t>hébergement</w:t>
      </w:r>
      <w:r w:rsidR="002A4EB2" w:rsidRPr="00643568">
        <w:rPr>
          <w:sz w:val="22"/>
          <w:szCs w:val="22"/>
        </w:rPr>
        <w:t xml:space="preserve"> occasionn</w:t>
      </w:r>
      <w:r w:rsidR="00007230" w:rsidRPr="00643568">
        <w:rPr>
          <w:sz w:val="22"/>
          <w:szCs w:val="22"/>
        </w:rPr>
        <w:t>el, tels que les frais d’hôtel…</w:t>
      </w:r>
      <w:r w:rsidR="002A4EB2" w:rsidRPr="00643568">
        <w:rPr>
          <w:sz w:val="22"/>
          <w:szCs w:val="22"/>
        </w:rPr>
        <w:t> »</w:t>
      </w:r>
    </w:p>
    <w:p w:rsidR="002A4EB2" w:rsidRPr="00643568" w:rsidRDefault="002A4EB2" w:rsidP="002A4EB2">
      <w:pPr>
        <w:pStyle w:val="Corpsdetexte"/>
        <w:rPr>
          <w:sz w:val="22"/>
          <w:szCs w:val="22"/>
        </w:rPr>
      </w:pPr>
    </w:p>
    <w:p w:rsidR="002408B4" w:rsidRPr="00643568" w:rsidRDefault="002408B4" w:rsidP="002A4EB2">
      <w:pPr>
        <w:pStyle w:val="Corpsdetexte"/>
        <w:rPr>
          <w:sz w:val="22"/>
          <w:szCs w:val="22"/>
        </w:rPr>
      </w:pPr>
    </w:p>
    <w:p w:rsidR="002408B4" w:rsidRPr="00595D41" w:rsidRDefault="002408B4" w:rsidP="002A4EB2">
      <w:pPr>
        <w:pStyle w:val="Corpsdetexte"/>
        <w:rPr>
          <w:sz w:val="24"/>
          <w:szCs w:val="24"/>
        </w:rPr>
      </w:pPr>
      <w:r w:rsidRPr="00595D41">
        <w:rPr>
          <w:b/>
          <w:sz w:val="24"/>
          <w:szCs w:val="24"/>
          <w:u w:val="single"/>
        </w:rPr>
        <w:t>Remarque</w:t>
      </w:r>
      <w:r w:rsidRPr="00595D41">
        <w:rPr>
          <w:sz w:val="24"/>
          <w:szCs w:val="24"/>
        </w:rPr>
        <w:t> </w:t>
      </w:r>
      <w:r w:rsidRPr="00595D41">
        <w:rPr>
          <w:b/>
          <w:i/>
          <w:sz w:val="24"/>
          <w:szCs w:val="24"/>
        </w:rPr>
        <w:t>: un coefficient d’admission nul signifie que la TVA n’est pas déductible.</w:t>
      </w:r>
    </w:p>
    <w:p w:rsidR="002408B4" w:rsidRPr="00643568" w:rsidRDefault="002408B4" w:rsidP="002A4EB2">
      <w:pPr>
        <w:pStyle w:val="Corpsdetexte"/>
        <w:rPr>
          <w:sz w:val="22"/>
          <w:szCs w:val="22"/>
        </w:rPr>
      </w:pPr>
    </w:p>
    <w:p w:rsidR="002408B4" w:rsidRPr="00643568" w:rsidRDefault="002408B4" w:rsidP="002A4EB2">
      <w:pPr>
        <w:pStyle w:val="Corpsdetexte"/>
        <w:rPr>
          <w:sz w:val="22"/>
          <w:szCs w:val="22"/>
        </w:rPr>
      </w:pPr>
    </w:p>
    <w:p w:rsidR="00E60D73" w:rsidRPr="00595D41" w:rsidRDefault="002A4EB2" w:rsidP="002A4EB2">
      <w:pPr>
        <w:pStyle w:val="Corpsdetexte"/>
        <w:rPr>
          <w:b/>
          <w:sz w:val="24"/>
          <w:szCs w:val="24"/>
        </w:rPr>
      </w:pPr>
      <w:r w:rsidRPr="00595D41">
        <w:rPr>
          <w:b/>
          <w:sz w:val="24"/>
          <w:szCs w:val="24"/>
        </w:rPr>
        <w:t>§ 55900</w:t>
      </w:r>
      <w:r w:rsidRPr="00595D41">
        <w:rPr>
          <w:sz w:val="24"/>
          <w:szCs w:val="24"/>
        </w:rPr>
        <w:t xml:space="preserve"> : </w:t>
      </w:r>
      <w:r w:rsidR="00E60D73" w:rsidRPr="00595D41">
        <w:rPr>
          <w:b/>
          <w:sz w:val="24"/>
          <w:szCs w:val="24"/>
        </w:rPr>
        <w:t>Véhicules de transport de personnes</w:t>
      </w:r>
    </w:p>
    <w:p w:rsidR="00E60D73" w:rsidRDefault="002A4EB2" w:rsidP="002A4EB2">
      <w:pPr>
        <w:pStyle w:val="Corpsdetexte"/>
        <w:rPr>
          <w:sz w:val="22"/>
          <w:szCs w:val="22"/>
        </w:rPr>
      </w:pPr>
      <w:r w:rsidRPr="00643568">
        <w:rPr>
          <w:sz w:val="22"/>
          <w:szCs w:val="22"/>
        </w:rPr>
        <w:t xml:space="preserve">« Le coefficient d’admission est nul pour les </w:t>
      </w:r>
      <w:r w:rsidRPr="00E60D73">
        <w:rPr>
          <w:b/>
          <w:sz w:val="22"/>
          <w:szCs w:val="22"/>
        </w:rPr>
        <w:t>véhicules ou engins</w:t>
      </w:r>
      <w:r w:rsidR="008B102D">
        <w:rPr>
          <w:sz w:val="22"/>
          <w:szCs w:val="22"/>
        </w:rPr>
        <w:t>, quel</w:t>
      </w:r>
      <w:r w:rsidR="00232FFD">
        <w:rPr>
          <w:sz w:val="22"/>
          <w:szCs w:val="22"/>
        </w:rPr>
        <w:t xml:space="preserve">le </w:t>
      </w:r>
      <w:r w:rsidR="008B102D">
        <w:rPr>
          <w:sz w:val="22"/>
          <w:szCs w:val="22"/>
        </w:rPr>
        <w:t>que</w:t>
      </w:r>
      <w:r w:rsidRPr="00643568">
        <w:rPr>
          <w:sz w:val="22"/>
          <w:szCs w:val="22"/>
        </w:rPr>
        <w:t xml:space="preserve"> soit leur nature, </w:t>
      </w:r>
      <w:r w:rsidRPr="00E60D73">
        <w:rPr>
          <w:b/>
          <w:sz w:val="22"/>
          <w:szCs w:val="22"/>
        </w:rPr>
        <w:t>conçus pour transporter des personnes ou à usages mixtes</w:t>
      </w:r>
      <w:r w:rsidRPr="00643568">
        <w:rPr>
          <w:sz w:val="22"/>
          <w:szCs w:val="22"/>
        </w:rPr>
        <w:t>.</w:t>
      </w:r>
    </w:p>
    <w:p w:rsidR="007C043A" w:rsidRDefault="00E60D73" w:rsidP="002A4EB2">
      <w:pPr>
        <w:pStyle w:val="Corpsdetexte"/>
        <w:rPr>
          <w:sz w:val="22"/>
          <w:szCs w:val="22"/>
        </w:rPr>
      </w:pPr>
      <w:r>
        <w:rPr>
          <w:sz w:val="22"/>
          <w:szCs w:val="22"/>
        </w:rPr>
        <w:t xml:space="preserve">Le coefficient d’admission est également nul pour les </w:t>
      </w:r>
      <w:r w:rsidRPr="003636B3">
        <w:rPr>
          <w:b/>
          <w:sz w:val="22"/>
          <w:szCs w:val="22"/>
        </w:rPr>
        <w:t>éléments constitutifs, pièces détachées et accessoires</w:t>
      </w:r>
      <w:r>
        <w:rPr>
          <w:sz w:val="22"/>
          <w:szCs w:val="22"/>
        </w:rPr>
        <w:t xml:space="preserve"> de ces véhicules ou engins</w:t>
      </w:r>
      <w:r w:rsidR="007C043A">
        <w:rPr>
          <w:sz w:val="22"/>
          <w:szCs w:val="22"/>
        </w:rPr>
        <w:t>.</w:t>
      </w:r>
    </w:p>
    <w:p w:rsidR="007C043A" w:rsidRDefault="007C043A" w:rsidP="002A4EB2">
      <w:pPr>
        <w:pStyle w:val="Corpsdetexte"/>
        <w:rPr>
          <w:sz w:val="22"/>
          <w:szCs w:val="22"/>
        </w:rPr>
      </w:pPr>
      <w:r>
        <w:rPr>
          <w:sz w:val="22"/>
          <w:szCs w:val="22"/>
        </w:rPr>
        <w:t>L’exclusion comporte cependant les exceptions indiquées aux 55910s</w:t>
      </w:r>
      <w:r w:rsidR="00FF326B">
        <w:rPr>
          <w:sz w:val="22"/>
          <w:szCs w:val="22"/>
        </w:rPr>
        <w:t>…</w:t>
      </w:r>
    </w:p>
    <w:p w:rsidR="007D01E1" w:rsidRDefault="00FF326B" w:rsidP="002A4EB2">
      <w:pPr>
        <w:pStyle w:val="Corpsdetexte"/>
        <w:rPr>
          <w:sz w:val="22"/>
          <w:szCs w:val="22"/>
        </w:rPr>
      </w:pPr>
      <w:r>
        <w:rPr>
          <w:sz w:val="22"/>
          <w:szCs w:val="22"/>
        </w:rPr>
        <w:t>Sous réserve de ces exceptions, sont exclus du droit à déduction tous les véhicules ou engins</w:t>
      </w:r>
      <w:r w:rsidR="007D01E1">
        <w:rPr>
          <w:sz w:val="22"/>
          <w:szCs w:val="22"/>
        </w:rPr>
        <w:t xml:space="preserve">, </w:t>
      </w:r>
      <w:r w:rsidR="007D01E1" w:rsidRPr="007D01E1">
        <w:rPr>
          <w:b/>
          <w:sz w:val="22"/>
          <w:szCs w:val="22"/>
        </w:rPr>
        <w:t>terrestres, maritimes ou aériens</w:t>
      </w:r>
      <w:r w:rsidR="007D01E1">
        <w:rPr>
          <w:sz w:val="22"/>
          <w:szCs w:val="22"/>
        </w:rPr>
        <w:t>, conçus pour transporter des personnes ou à usage mixte</w:t>
      </w:r>
      <w:r w:rsidR="00492925">
        <w:rPr>
          <w:sz w:val="22"/>
          <w:szCs w:val="22"/>
        </w:rPr>
        <w:t>…</w:t>
      </w:r>
    </w:p>
    <w:p w:rsidR="00492925" w:rsidRDefault="00492925" w:rsidP="002A4EB2">
      <w:pPr>
        <w:pStyle w:val="Corpsdetexte"/>
        <w:rPr>
          <w:sz w:val="22"/>
          <w:szCs w:val="22"/>
        </w:rPr>
      </w:pPr>
      <w:r w:rsidRPr="00492925">
        <w:rPr>
          <w:b/>
          <w:sz w:val="22"/>
          <w:szCs w:val="22"/>
        </w:rPr>
        <w:t>Remarque</w:t>
      </w:r>
      <w:r>
        <w:rPr>
          <w:sz w:val="22"/>
          <w:szCs w:val="22"/>
        </w:rPr>
        <w:t xml:space="preserve"> : a. Comme on le verra au n°55995, les </w:t>
      </w:r>
      <w:r w:rsidRPr="008529E2">
        <w:rPr>
          <w:b/>
          <w:sz w:val="22"/>
          <w:szCs w:val="22"/>
        </w:rPr>
        <w:t>services</w:t>
      </w:r>
      <w:r>
        <w:rPr>
          <w:sz w:val="22"/>
          <w:szCs w:val="22"/>
        </w:rPr>
        <w:t xml:space="preserve"> (réparations, etc.) afférents à des véhicules n’ouvrant pas droit à déduction sont eux-mêmes exclus, en principe, du droit à déduction</w:t>
      </w:r>
      <w:r w:rsidR="008529E2">
        <w:rPr>
          <w:sz w:val="22"/>
          <w:szCs w:val="22"/>
        </w:rPr>
        <w:t>…</w:t>
      </w:r>
    </w:p>
    <w:p w:rsidR="002A4EB2" w:rsidRPr="00643568" w:rsidRDefault="007A49E2" w:rsidP="002A4EB2">
      <w:pPr>
        <w:pStyle w:val="Corpsdetexte"/>
        <w:rPr>
          <w:sz w:val="22"/>
          <w:szCs w:val="22"/>
        </w:rPr>
      </w:pPr>
      <w:r w:rsidRPr="00474B53">
        <w:rPr>
          <w:b/>
          <w:sz w:val="24"/>
          <w:szCs w:val="24"/>
        </w:rPr>
        <w:t>§ 55905</w:t>
      </w:r>
      <w:r>
        <w:rPr>
          <w:b/>
          <w:sz w:val="24"/>
          <w:szCs w:val="24"/>
        </w:rPr>
        <w:t xml:space="preserve"> </w:t>
      </w:r>
      <w:r w:rsidR="008529E2" w:rsidRPr="00643568">
        <w:rPr>
          <w:sz w:val="22"/>
          <w:szCs w:val="22"/>
          <w:bdr w:val="single" w:sz="4" w:space="0" w:color="auto"/>
        </w:rPr>
        <w:t>Précisions</w:t>
      </w:r>
      <w:r w:rsidR="008529E2" w:rsidRPr="00643568">
        <w:rPr>
          <w:sz w:val="22"/>
          <w:szCs w:val="22"/>
        </w:rPr>
        <w:t xml:space="preserve"> 1. </w:t>
      </w:r>
      <w:r w:rsidR="008529E2">
        <w:rPr>
          <w:sz w:val="22"/>
          <w:szCs w:val="22"/>
        </w:rPr>
        <w:t>Dans le do</w:t>
      </w:r>
      <w:r w:rsidR="00125696">
        <w:rPr>
          <w:sz w:val="22"/>
          <w:szCs w:val="22"/>
        </w:rPr>
        <w:t>maine des véhicules automobiles, l’exclusion du droit à déduction vise notamment tous les véhicules qui sont réceptionnés par le service des mines comme autocars ou autobus (sauf les exception</w:t>
      </w:r>
      <w:r w:rsidR="00805363">
        <w:rPr>
          <w:sz w:val="22"/>
          <w:szCs w:val="22"/>
        </w:rPr>
        <w:t>s visées aux n°55910s.) ou comme voitures particulières (conduite intérieure, break…). Ne sont pas frappés d’exclusion, en revanche, les triporteurs, camionnettes, camions, tracteurs…</w:t>
      </w:r>
      <w:r w:rsidR="002A4EB2" w:rsidRPr="00643568">
        <w:rPr>
          <w:sz w:val="22"/>
          <w:szCs w:val="22"/>
        </w:rPr>
        <w:t> »</w:t>
      </w:r>
      <w:r w:rsidR="00805363">
        <w:rPr>
          <w:sz w:val="22"/>
          <w:szCs w:val="22"/>
        </w:rPr>
        <w:t>.</w:t>
      </w:r>
    </w:p>
    <w:p w:rsidR="002A4EB2" w:rsidRPr="00643568" w:rsidRDefault="002A4EB2" w:rsidP="002A4EB2">
      <w:pPr>
        <w:pStyle w:val="Corpsdetexte"/>
        <w:rPr>
          <w:sz w:val="22"/>
          <w:szCs w:val="22"/>
        </w:rPr>
      </w:pPr>
    </w:p>
    <w:p w:rsidR="00474B53" w:rsidRPr="00474B53" w:rsidRDefault="002A4EB2" w:rsidP="002A4EB2">
      <w:pPr>
        <w:pStyle w:val="Corpsdetexte"/>
        <w:rPr>
          <w:b/>
          <w:sz w:val="24"/>
          <w:szCs w:val="24"/>
        </w:rPr>
      </w:pPr>
      <w:r w:rsidRPr="00474B53">
        <w:rPr>
          <w:b/>
          <w:sz w:val="24"/>
          <w:szCs w:val="24"/>
        </w:rPr>
        <w:t xml:space="preserve">§ 55970 : </w:t>
      </w:r>
      <w:r w:rsidR="00546308">
        <w:rPr>
          <w:b/>
          <w:sz w:val="24"/>
          <w:szCs w:val="24"/>
        </w:rPr>
        <w:t>Biens fournis sans rémunération ou pour un prix trop bas</w:t>
      </w:r>
    </w:p>
    <w:p w:rsidR="002A4EB2" w:rsidRPr="00643568" w:rsidRDefault="002A4EB2" w:rsidP="002A4EB2">
      <w:pPr>
        <w:pStyle w:val="Corpsdetexte"/>
        <w:rPr>
          <w:sz w:val="22"/>
          <w:szCs w:val="22"/>
        </w:rPr>
      </w:pPr>
      <w:r w:rsidRPr="00643568">
        <w:rPr>
          <w:sz w:val="22"/>
          <w:szCs w:val="22"/>
        </w:rPr>
        <w:t>« </w:t>
      </w:r>
      <w:r w:rsidR="00546308">
        <w:rPr>
          <w:sz w:val="22"/>
          <w:szCs w:val="22"/>
        </w:rPr>
        <w:t>Sous réserve des exceptions mentionnées au n° 55980 et au n° 55985, l</w:t>
      </w:r>
      <w:r w:rsidRPr="00643568">
        <w:rPr>
          <w:sz w:val="22"/>
          <w:szCs w:val="22"/>
        </w:rPr>
        <w:t xml:space="preserve">e coefficient d’admission est nul lorsque le bien est cédé sans rémunération ou moyennant une rémunération très inférieure à son prix normal, </w:t>
      </w:r>
      <w:r w:rsidRPr="00546308">
        <w:rPr>
          <w:b/>
          <w:sz w:val="22"/>
          <w:szCs w:val="22"/>
        </w:rPr>
        <w:t>notamment</w:t>
      </w:r>
      <w:r w:rsidRPr="00643568">
        <w:rPr>
          <w:sz w:val="22"/>
          <w:szCs w:val="22"/>
        </w:rPr>
        <w:t xml:space="preserve"> à titre de </w:t>
      </w:r>
      <w:r w:rsidR="00546308" w:rsidRPr="00546308">
        <w:rPr>
          <w:b/>
          <w:sz w:val="22"/>
          <w:szCs w:val="22"/>
        </w:rPr>
        <w:t xml:space="preserve">commission, salaire, gratification, rabais, bonification, </w:t>
      </w:r>
      <w:r w:rsidRPr="00546308">
        <w:rPr>
          <w:b/>
          <w:sz w:val="22"/>
          <w:szCs w:val="22"/>
        </w:rPr>
        <w:t>cadeau</w:t>
      </w:r>
      <w:r w:rsidRPr="00643568">
        <w:rPr>
          <w:sz w:val="22"/>
          <w:szCs w:val="22"/>
        </w:rPr>
        <w:t xml:space="preserve">. Il en est ainsi quelle que soit la qualité du </w:t>
      </w:r>
      <w:r w:rsidRPr="00546308">
        <w:rPr>
          <w:b/>
          <w:sz w:val="22"/>
          <w:szCs w:val="22"/>
        </w:rPr>
        <w:t>bénéficiaire</w:t>
      </w:r>
      <w:r w:rsidRPr="00643568">
        <w:rPr>
          <w:sz w:val="22"/>
          <w:szCs w:val="22"/>
        </w:rPr>
        <w:t xml:space="preserve"> (client, fournisseur, personnel…) ou la forme de la distribution et quand bien même l’opération serait effectuée dans </w:t>
      </w:r>
      <w:r w:rsidRPr="00546308">
        <w:rPr>
          <w:sz w:val="22"/>
          <w:szCs w:val="22"/>
        </w:rPr>
        <w:t>l’</w:t>
      </w:r>
      <w:r w:rsidRPr="00546308">
        <w:rPr>
          <w:b/>
          <w:sz w:val="22"/>
          <w:szCs w:val="22"/>
        </w:rPr>
        <w:t>intérêt de l’entreprise</w:t>
      </w:r>
      <w:r w:rsidRPr="00643568">
        <w:rPr>
          <w:sz w:val="22"/>
          <w:szCs w:val="22"/>
        </w:rPr>
        <w:t>. »</w:t>
      </w:r>
    </w:p>
    <w:p w:rsidR="00B81314" w:rsidRPr="00B81314" w:rsidRDefault="00B81314" w:rsidP="002A4EB2">
      <w:pPr>
        <w:pStyle w:val="Corpsdetexte"/>
        <w:rPr>
          <w:sz w:val="24"/>
          <w:szCs w:val="24"/>
        </w:rPr>
      </w:pPr>
    </w:p>
    <w:p w:rsidR="00474B53" w:rsidRPr="00474B53" w:rsidRDefault="002A4EB2" w:rsidP="002A4EB2">
      <w:pPr>
        <w:pStyle w:val="Corpsdetexte"/>
        <w:rPr>
          <w:b/>
          <w:sz w:val="24"/>
          <w:szCs w:val="24"/>
        </w:rPr>
      </w:pPr>
      <w:r w:rsidRPr="00474B53">
        <w:rPr>
          <w:b/>
          <w:sz w:val="24"/>
          <w:szCs w:val="24"/>
        </w:rPr>
        <w:t xml:space="preserve">§ 55980 : </w:t>
      </w:r>
      <w:r w:rsidR="00DA12BA">
        <w:rPr>
          <w:b/>
          <w:sz w:val="24"/>
          <w:szCs w:val="24"/>
        </w:rPr>
        <w:t xml:space="preserve">Exceptions </w:t>
      </w:r>
      <w:r w:rsidR="0060579E">
        <w:rPr>
          <w:b/>
          <w:sz w:val="24"/>
          <w:szCs w:val="24"/>
        </w:rPr>
        <w:t>b</w:t>
      </w:r>
      <w:r w:rsidR="00DA12BA">
        <w:rPr>
          <w:b/>
          <w:sz w:val="24"/>
          <w:szCs w:val="24"/>
        </w:rPr>
        <w:t>iens de très faible valeur</w:t>
      </w:r>
    </w:p>
    <w:p w:rsidR="00B97A68" w:rsidRDefault="002A4EB2" w:rsidP="002A4EB2">
      <w:pPr>
        <w:pStyle w:val="Corpsdetexte"/>
        <w:rPr>
          <w:sz w:val="22"/>
          <w:szCs w:val="22"/>
        </w:rPr>
      </w:pPr>
      <w:r w:rsidRPr="00643568">
        <w:rPr>
          <w:sz w:val="22"/>
          <w:szCs w:val="22"/>
        </w:rPr>
        <w:t>« L’exclusion ne joue pas quand il s’agit de biens de très faible valeur</w:t>
      </w:r>
      <w:r w:rsidR="00B97A68">
        <w:rPr>
          <w:sz w:val="22"/>
          <w:szCs w:val="22"/>
        </w:rPr>
        <w:t xml:space="preserve"> (conçus spécialement ou non pour la publicité)</w:t>
      </w:r>
      <w:r w:rsidRPr="00643568">
        <w:rPr>
          <w:sz w:val="22"/>
          <w:szCs w:val="22"/>
        </w:rPr>
        <w:t>.</w:t>
      </w:r>
    </w:p>
    <w:p w:rsidR="008F7D3F" w:rsidRDefault="00B97A68" w:rsidP="002A4EB2">
      <w:pPr>
        <w:pStyle w:val="Corpsdetexte"/>
        <w:rPr>
          <w:sz w:val="22"/>
          <w:szCs w:val="22"/>
        </w:rPr>
      </w:pPr>
      <w:r>
        <w:rPr>
          <w:sz w:val="22"/>
          <w:szCs w:val="22"/>
        </w:rPr>
        <w:t>La condition de valeur est considérée comme remplie l</w:t>
      </w:r>
      <w:r w:rsidR="002A4EB2" w:rsidRPr="00643568">
        <w:rPr>
          <w:sz w:val="22"/>
          <w:szCs w:val="22"/>
        </w:rPr>
        <w:t xml:space="preserve">orsque la </w:t>
      </w:r>
      <w:r w:rsidR="002A4EB2" w:rsidRPr="008F7D3F">
        <w:rPr>
          <w:b/>
          <w:sz w:val="22"/>
          <w:szCs w:val="22"/>
        </w:rPr>
        <w:t>valeur unitaire</w:t>
      </w:r>
      <w:r w:rsidR="002A4EB2" w:rsidRPr="00643568">
        <w:rPr>
          <w:sz w:val="22"/>
          <w:szCs w:val="22"/>
        </w:rPr>
        <w:t xml:space="preserve"> de ces objets n’excède pas 65 €, taxes comprises</w:t>
      </w:r>
      <w:r w:rsidR="008F7D3F">
        <w:rPr>
          <w:sz w:val="22"/>
          <w:szCs w:val="22"/>
        </w:rPr>
        <w:t>.</w:t>
      </w:r>
    </w:p>
    <w:p w:rsidR="002A4EB2" w:rsidRPr="00643568" w:rsidRDefault="008F7D3F" w:rsidP="002A4EB2">
      <w:pPr>
        <w:pStyle w:val="Corpsdetexte"/>
        <w:rPr>
          <w:sz w:val="22"/>
          <w:szCs w:val="22"/>
        </w:rPr>
      </w:pPr>
      <w:r>
        <w:rPr>
          <w:sz w:val="22"/>
          <w:szCs w:val="22"/>
        </w:rPr>
        <w:t>Pour les biens qui remplissent cette condition de valeur, le coefficient d’admission est donc égal à un… »</w:t>
      </w:r>
    </w:p>
    <w:p w:rsidR="002A4EB2" w:rsidRPr="00643568" w:rsidRDefault="002A4EB2" w:rsidP="002A4EB2">
      <w:pPr>
        <w:pStyle w:val="Corpsdetexte"/>
        <w:rPr>
          <w:sz w:val="22"/>
          <w:szCs w:val="22"/>
        </w:rPr>
      </w:pPr>
    </w:p>
    <w:p w:rsidR="00474B53" w:rsidRPr="00474B53" w:rsidRDefault="002A4EB2" w:rsidP="002A4EB2">
      <w:pPr>
        <w:pStyle w:val="Corpsdetexte"/>
        <w:rPr>
          <w:b/>
          <w:sz w:val="24"/>
          <w:szCs w:val="24"/>
        </w:rPr>
      </w:pPr>
      <w:r w:rsidRPr="00474B53">
        <w:rPr>
          <w:b/>
          <w:sz w:val="24"/>
          <w:szCs w:val="24"/>
        </w:rPr>
        <w:t xml:space="preserve">§ 55985 : </w:t>
      </w:r>
      <w:r w:rsidR="00FB2C9B">
        <w:rPr>
          <w:b/>
          <w:sz w:val="24"/>
          <w:szCs w:val="24"/>
        </w:rPr>
        <w:t>Objets de nature publicitaire</w:t>
      </w:r>
    </w:p>
    <w:p w:rsidR="002A4EB2" w:rsidRPr="00643568" w:rsidRDefault="002A4EB2" w:rsidP="002A4EB2">
      <w:pPr>
        <w:pStyle w:val="Corpsdetexte"/>
        <w:rPr>
          <w:sz w:val="22"/>
          <w:szCs w:val="22"/>
        </w:rPr>
      </w:pPr>
      <w:r w:rsidRPr="00643568">
        <w:rPr>
          <w:sz w:val="22"/>
          <w:szCs w:val="22"/>
        </w:rPr>
        <w:t xml:space="preserve">« Ouvrent droit à déduction </w:t>
      </w:r>
      <w:r w:rsidR="00AE5282">
        <w:rPr>
          <w:sz w:val="22"/>
          <w:szCs w:val="22"/>
        </w:rPr>
        <w:t xml:space="preserve">dans les conditions de droit commun (coefficient d’admission égal à un) </w:t>
      </w:r>
      <w:r w:rsidRPr="00643568">
        <w:rPr>
          <w:sz w:val="22"/>
          <w:szCs w:val="22"/>
        </w:rPr>
        <w:t>les matériels et objets de nature publicitaire remis gratuitement à un bénéficiaire… »</w:t>
      </w:r>
    </w:p>
    <w:p w:rsidR="002A4EB2" w:rsidRDefault="002A4EB2" w:rsidP="002A4EB2">
      <w:pPr>
        <w:pStyle w:val="Corpsdetexte"/>
        <w:rPr>
          <w:sz w:val="22"/>
          <w:szCs w:val="22"/>
        </w:rPr>
      </w:pPr>
    </w:p>
    <w:p w:rsidR="00567B1C" w:rsidRPr="00643568" w:rsidRDefault="00567B1C" w:rsidP="002A4EB2">
      <w:pPr>
        <w:pStyle w:val="Corpsdetexte"/>
        <w:rPr>
          <w:sz w:val="22"/>
          <w:szCs w:val="22"/>
        </w:rPr>
      </w:pPr>
    </w:p>
    <w:p w:rsidR="00A11442" w:rsidRPr="00A11442" w:rsidRDefault="002A4EB2" w:rsidP="002A4EB2">
      <w:pPr>
        <w:pStyle w:val="Corpsdetexte"/>
        <w:rPr>
          <w:b/>
          <w:sz w:val="24"/>
          <w:szCs w:val="24"/>
        </w:rPr>
      </w:pPr>
      <w:r w:rsidRPr="00A11442">
        <w:rPr>
          <w:b/>
          <w:sz w:val="24"/>
          <w:szCs w:val="24"/>
        </w:rPr>
        <w:t xml:space="preserve">§ 55995 : </w:t>
      </w:r>
      <w:r w:rsidR="00F8578A">
        <w:rPr>
          <w:b/>
          <w:sz w:val="24"/>
          <w:szCs w:val="24"/>
        </w:rPr>
        <w:t>Services afférents à des biens exclus</w:t>
      </w:r>
    </w:p>
    <w:p w:rsidR="00A50018" w:rsidRDefault="002A4EB2" w:rsidP="002A4EB2">
      <w:pPr>
        <w:pStyle w:val="Corpsdetexte"/>
        <w:rPr>
          <w:sz w:val="22"/>
          <w:szCs w:val="22"/>
        </w:rPr>
      </w:pPr>
      <w:r w:rsidRPr="00643568">
        <w:rPr>
          <w:sz w:val="22"/>
          <w:szCs w:val="22"/>
        </w:rPr>
        <w:t xml:space="preserve">«  Sont exclues du droit à déduction </w:t>
      </w:r>
      <w:r w:rsidR="00EC0BE1">
        <w:rPr>
          <w:sz w:val="22"/>
          <w:szCs w:val="22"/>
        </w:rPr>
        <w:t xml:space="preserve">(coefficient d’admission égal à zéro) </w:t>
      </w:r>
      <w:r w:rsidRPr="00643568">
        <w:rPr>
          <w:sz w:val="22"/>
          <w:szCs w:val="22"/>
        </w:rPr>
        <w:t xml:space="preserve">les prestations de services de toute nature, </w:t>
      </w:r>
      <w:r w:rsidR="00A50018">
        <w:rPr>
          <w:sz w:val="22"/>
          <w:szCs w:val="22"/>
        </w:rPr>
        <w:t xml:space="preserve">notamment la location, </w:t>
      </w:r>
      <w:r w:rsidRPr="00643568">
        <w:rPr>
          <w:sz w:val="22"/>
          <w:szCs w:val="22"/>
        </w:rPr>
        <w:t>afférentes aux biens dont le c</w:t>
      </w:r>
      <w:r w:rsidR="00A50018">
        <w:rPr>
          <w:sz w:val="22"/>
          <w:szCs w:val="22"/>
        </w:rPr>
        <w:t>oefficient d’admission est nul…</w:t>
      </w:r>
    </w:p>
    <w:p w:rsidR="002A4EB2" w:rsidRPr="00643568" w:rsidRDefault="002A4EB2" w:rsidP="002A4EB2">
      <w:pPr>
        <w:pStyle w:val="Corpsdetexte"/>
        <w:rPr>
          <w:sz w:val="22"/>
          <w:szCs w:val="22"/>
        </w:rPr>
      </w:pPr>
      <w:r w:rsidRPr="00643568">
        <w:rPr>
          <w:sz w:val="22"/>
          <w:szCs w:val="22"/>
        </w:rPr>
        <w:t xml:space="preserve">Sont </w:t>
      </w:r>
      <w:r w:rsidRPr="00A50018">
        <w:rPr>
          <w:b/>
          <w:sz w:val="22"/>
          <w:szCs w:val="22"/>
        </w:rPr>
        <w:t>notamment concernées</w:t>
      </w:r>
      <w:r w:rsidRPr="00643568">
        <w:rPr>
          <w:sz w:val="22"/>
          <w:szCs w:val="22"/>
        </w:rPr>
        <w:t>, outre la location, les opérations de réparation, de transport, de commission, de courtage portant sur des biens exclus du droit à déduction</w:t>
      </w:r>
      <w:r w:rsidR="00A50018">
        <w:rPr>
          <w:sz w:val="22"/>
          <w:szCs w:val="22"/>
        </w:rPr>
        <w:t>..</w:t>
      </w:r>
      <w:r w:rsidRPr="00643568">
        <w:rPr>
          <w:sz w:val="22"/>
          <w:szCs w:val="22"/>
        </w:rPr>
        <w:t>. »</w:t>
      </w:r>
    </w:p>
    <w:p w:rsidR="002A4EB2" w:rsidRPr="00643568" w:rsidRDefault="002A4EB2" w:rsidP="00166DA3">
      <w:pPr>
        <w:pStyle w:val="Corpsdetexte"/>
        <w:rPr>
          <w:b/>
          <w:sz w:val="22"/>
          <w:szCs w:val="22"/>
        </w:rPr>
      </w:pPr>
    </w:p>
    <w:p w:rsidR="002A4EB2" w:rsidRDefault="002A4EB2" w:rsidP="00166DA3">
      <w:pPr>
        <w:pStyle w:val="Corpsdetexte"/>
        <w:rPr>
          <w:b/>
          <w:sz w:val="22"/>
          <w:szCs w:val="22"/>
        </w:rPr>
      </w:pPr>
    </w:p>
    <w:p w:rsidR="00456FEA" w:rsidRPr="00A11442" w:rsidRDefault="00456FEA" w:rsidP="00456FEA">
      <w:pPr>
        <w:pStyle w:val="Corpsdetexte"/>
        <w:rPr>
          <w:b/>
          <w:sz w:val="24"/>
          <w:szCs w:val="24"/>
        </w:rPr>
      </w:pPr>
      <w:r w:rsidRPr="00A11442">
        <w:rPr>
          <w:b/>
          <w:sz w:val="24"/>
          <w:szCs w:val="24"/>
        </w:rPr>
        <w:t>§ 5</w:t>
      </w:r>
      <w:r>
        <w:rPr>
          <w:b/>
          <w:sz w:val="24"/>
          <w:szCs w:val="24"/>
        </w:rPr>
        <w:t>6260</w:t>
      </w:r>
      <w:r w:rsidRPr="00A11442">
        <w:rPr>
          <w:b/>
          <w:sz w:val="24"/>
          <w:szCs w:val="24"/>
        </w:rPr>
        <w:t xml:space="preserve"> : </w:t>
      </w:r>
      <w:r>
        <w:rPr>
          <w:b/>
          <w:sz w:val="24"/>
          <w:szCs w:val="24"/>
        </w:rPr>
        <w:t>Mention sur les factures d’achat</w:t>
      </w:r>
    </w:p>
    <w:p w:rsidR="00456FEA" w:rsidRPr="00B4694F" w:rsidRDefault="00B4694F" w:rsidP="00166DA3">
      <w:pPr>
        <w:pStyle w:val="Corpsdetexte"/>
        <w:rPr>
          <w:sz w:val="22"/>
          <w:szCs w:val="22"/>
        </w:rPr>
      </w:pPr>
      <w:r w:rsidRPr="00B4694F">
        <w:rPr>
          <w:sz w:val="22"/>
          <w:szCs w:val="22"/>
        </w:rPr>
        <w:t xml:space="preserve">Qu’il </w:t>
      </w:r>
      <w:r>
        <w:rPr>
          <w:sz w:val="22"/>
          <w:szCs w:val="22"/>
        </w:rPr>
        <w:t xml:space="preserve">s’agisse de biens ou de services, la taxe dont le redevable peut </w:t>
      </w:r>
      <w:r w:rsidR="00B667E0">
        <w:rPr>
          <w:sz w:val="22"/>
          <w:szCs w:val="22"/>
        </w:rPr>
        <w:t xml:space="preserve">opérer la déduction est, en principe, celle qui figure sur les </w:t>
      </w:r>
      <w:r w:rsidR="00B667E0" w:rsidRPr="00B667E0">
        <w:rPr>
          <w:b/>
          <w:sz w:val="22"/>
          <w:szCs w:val="22"/>
        </w:rPr>
        <w:t>factures établies conformément</w:t>
      </w:r>
      <w:r w:rsidR="00B667E0">
        <w:rPr>
          <w:sz w:val="22"/>
          <w:szCs w:val="22"/>
        </w:rPr>
        <w:t xml:space="preserve"> aux dispositions de </w:t>
      </w:r>
      <w:r w:rsidR="00B667E0" w:rsidRPr="00B667E0">
        <w:rPr>
          <w:b/>
          <w:sz w:val="22"/>
          <w:szCs w:val="22"/>
        </w:rPr>
        <w:t>l’article 289 du CGI</w:t>
      </w:r>
      <w:r w:rsidR="00B667E0">
        <w:rPr>
          <w:sz w:val="22"/>
          <w:szCs w:val="22"/>
        </w:rPr>
        <w:t xml:space="preserve"> et si la taxe pouvait </w:t>
      </w:r>
      <w:r w:rsidR="00B667E0" w:rsidRPr="00B667E0">
        <w:rPr>
          <w:b/>
          <w:sz w:val="22"/>
          <w:szCs w:val="22"/>
        </w:rPr>
        <w:t>légalement figurer</w:t>
      </w:r>
      <w:r w:rsidR="00B667E0">
        <w:rPr>
          <w:sz w:val="22"/>
          <w:szCs w:val="22"/>
        </w:rPr>
        <w:t xml:space="preserve"> sur lesdites factures</w:t>
      </w:r>
      <w:r w:rsidR="00675D35">
        <w:rPr>
          <w:sz w:val="22"/>
          <w:szCs w:val="22"/>
        </w:rPr>
        <w:t xml:space="preserve">… La déduction ne peut être opérée que si le redevable est </w:t>
      </w:r>
      <w:r w:rsidR="00675D35" w:rsidRPr="00336E40">
        <w:rPr>
          <w:b/>
          <w:sz w:val="22"/>
          <w:szCs w:val="22"/>
        </w:rPr>
        <w:t>en possession de la facture</w:t>
      </w:r>
      <w:r w:rsidR="00675D35">
        <w:rPr>
          <w:sz w:val="22"/>
          <w:szCs w:val="22"/>
        </w:rPr>
        <w:t xml:space="preserve"> correspondante</w:t>
      </w:r>
      <w:r w:rsidR="00301344">
        <w:rPr>
          <w:sz w:val="22"/>
          <w:szCs w:val="22"/>
        </w:rPr>
        <w:t xml:space="preserve"> </w:t>
      </w:r>
      <w:r w:rsidR="00301344" w:rsidRPr="00336E40">
        <w:rPr>
          <w:b/>
          <w:sz w:val="22"/>
          <w:szCs w:val="22"/>
        </w:rPr>
        <w:t>au moment</w:t>
      </w:r>
      <w:r w:rsidR="00301344">
        <w:rPr>
          <w:sz w:val="22"/>
          <w:szCs w:val="22"/>
        </w:rPr>
        <w:t xml:space="preserve"> où il opère la </w:t>
      </w:r>
      <w:r w:rsidR="00301344" w:rsidRPr="00336E40">
        <w:rPr>
          <w:b/>
          <w:sz w:val="22"/>
          <w:szCs w:val="22"/>
        </w:rPr>
        <w:t>déduction</w:t>
      </w:r>
      <w:r w:rsidR="00301344">
        <w:rPr>
          <w:sz w:val="22"/>
          <w:szCs w:val="22"/>
        </w:rPr>
        <w:t>.</w:t>
      </w:r>
    </w:p>
    <w:p w:rsidR="00456FEA" w:rsidRDefault="008A1175" w:rsidP="00166DA3">
      <w:pPr>
        <w:pStyle w:val="Corpsdetexte"/>
        <w:rPr>
          <w:sz w:val="22"/>
          <w:szCs w:val="22"/>
        </w:rPr>
      </w:pPr>
      <w:r>
        <w:rPr>
          <w:sz w:val="22"/>
          <w:szCs w:val="22"/>
        </w:rPr>
        <w:t>Lorsque les factures font l’objet d’une rectification, le client redevable doit apporter les rectifications correspondantes dans ses déductions et les mentionner sur la déclaration qu’il souscrit au titre du mois au cours duquel il a connaissance de cette rectification… »</w:t>
      </w:r>
    </w:p>
    <w:p w:rsidR="00336E40" w:rsidRPr="00B4694F" w:rsidRDefault="00336E40" w:rsidP="00166DA3">
      <w:pPr>
        <w:pStyle w:val="Corpsdetexte"/>
        <w:rPr>
          <w:sz w:val="22"/>
          <w:szCs w:val="22"/>
        </w:rPr>
      </w:pPr>
    </w:p>
    <w:p w:rsidR="00456FEA" w:rsidRPr="00B4694F" w:rsidRDefault="00456FEA" w:rsidP="00166DA3">
      <w:pPr>
        <w:pStyle w:val="Corpsdetexte"/>
        <w:rPr>
          <w:sz w:val="22"/>
          <w:szCs w:val="22"/>
        </w:rPr>
      </w:pPr>
    </w:p>
    <w:p w:rsidR="0089573F" w:rsidRPr="0089573F" w:rsidRDefault="00D50CB1" w:rsidP="00D50CB1">
      <w:pPr>
        <w:pStyle w:val="Corpsdetexte"/>
        <w:rPr>
          <w:b/>
          <w:sz w:val="24"/>
          <w:szCs w:val="24"/>
        </w:rPr>
      </w:pPr>
      <w:r w:rsidRPr="0089573F">
        <w:rPr>
          <w:b/>
          <w:sz w:val="24"/>
          <w:szCs w:val="24"/>
        </w:rPr>
        <w:t xml:space="preserve">§ 61400 : </w:t>
      </w:r>
      <w:r w:rsidR="00865E92">
        <w:rPr>
          <w:b/>
          <w:sz w:val="24"/>
          <w:szCs w:val="24"/>
        </w:rPr>
        <w:t xml:space="preserve">Produits totalement exclus du droit à déduction </w:t>
      </w:r>
      <w:r w:rsidR="00865E92" w:rsidRPr="00865E92">
        <w:rPr>
          <w:sz w:val="24"/>
          <w:szCs w:val="24"/>
        </w:rPr>
        <w:t>(coefficient d’admission égal à zéro)</w:t>
      </w:r>
    </w:p>
    <w:p w:rsidR="00D50CB1" w:rsidRPr="00643568" w:rsidRDefault="00D50CB1" w:rsidP="00D50CB1">
      <w:pPr>
        <w:pStyle w:val="Corpsdetexte"/>
        <w:rPr>
          <w:sz w:val="22"/>
          <w:szCs w:val="22"/>
        </w:rPr>
      </w:pPr>
      <w:r w:rsidRPr="00643568">
        <w:rPr>
          <w:sz w:val="22"/>
          <w:szCs w:val="22"/>
        </w:rPr>
        <w:t>« </w:t>
      </w:r>
      <w:proofErr w:type="gramStart"/>
      <w:r w:rsidR="00DE3572">
        <w:rPr>
          <w:sz w:val="22"/>
          <w:szCs w:val="22"/>
        </w:rPr>
        <w:t>a</w:t>
      </w:r>
      <w:proofErr w:type="gramEnd"/>
      <w:r w:rsidR="00DE3572">
        <w:rPr>
          <w:sz w:val="22"/>
          <w:szCs w:val="22"/>
        </w:rPr>
        <w:t xml:space="preserve">. </w:t>
      </w:r>
      <w:r w:rsidRPr="00DE3572">
        <w:rPr>
          <w:b/>
          <w:sz w:val="22"/>
          <w:szCs w:val="22"/>
        </w:rPr>
        <w:t>Les essences utilisées comme carburants</w:t>
      </w:r>
      <w:r w:rsidRPr="00643568">
        <w:rPr>
          <w:sz w:val="22"/>
          <w:szCs w:val="22"/>
        </w:rPr>
        <w:t>…sont exclues du droit à déduction. L’exclusion s’applique quel que soit le véhicule ou engin dans lequel ces carburants sont utilisés et quelle que soit leur dénomination (essence normale, supercarburant</w:t>
      </w:r>
      <w:r w:rsidR="006F32C2">
        <w:rPr>
          <w:sz w:val="22"/>
          <w:szCs w:val="22"/>
        </w:rPr>
        <w:t xml:space="preserve"> avec ou sans plomb</w:t>
      </w:r>
      <w:r w:rsidRPr="00643568">
        <w:rPr>
          <w:sz w:val="22"/>
          <w:szCs w:val="22"/>
        </w:rPr>
        <w:t>,</w:t>
      </w:r>
      <w:r w:rsidR="006F32C2">
        <w:rPr>
          <w:sz w:val="22"/>
          <w:szCs w:val="22"/>
        </w:rPr>
        <w:t xml:space="preserve"> essence d’aviation,</w:t>
      </w:r>
      <w:r w:rsidRPr="00643568">
        <w:rPr>
          <w:sz w:val="22"/>
          <w:szCs w:val="22"/>
        </w:rPr>
        <w:t xml:space="preserve"> </w:t>
      </w:r>
      <w:r w:rsidR="00A066D7" w:rsidRPr="00643568">
        <w:rPr>
          <w:sz w:val="22"/>
          <w:szCs w:val="22"/>
        </w:rPr>
        <w:t>etc.</w:t>
      </w:r>
      <w:r w:rsidRPr="00643568">
        <w:rPr>
          <w:sz w:val="22"/>
          <w:szCs w:val="22"/>
        </w:rPr>
        <w:t>)</w:t>
      </w:r>
      <w:r w:rsidR="006F32C2">
        <w:rPr>
          <w:sz w:val="22"/>
          <w:szCs w:val="22"/>
        </w:rPr>
        <w:t>…</w:t>
      </w:r>
      <w:r w:rsidR="00BE2D0B" w:rsidRPr="00643568">
        <w:rPr>
          <w:sz w:val="22"/>
          <w:szCs w:val="22"/>
        </w:rPr>
        <w:t> »</w:t>
      </w:r>
    </w:p>
    <w:p w:rsidR="00166DA3" w:rsidRPr="00643568" w:rsidRDefault="00166DA3" w:rsidP="00166DA3">
      <w:pPr>
        <w:pStyle w:val="Corpsdetexte"/>
        <w:rPr>
          <w:b/>
          <w:sz w:val="22"/>
          <w:szCs w:val="22"/>
        </w:rPr>
      </w:pPr>
    </w:p>
    <w:p w:rsidR="005A30B2" w:rsidRPr="0089573F" w:rsidRDefault="005A30B2" w:rsidP="00347901">
      <w:pPr>
        <w:spacing w:after="0" w:line="240" w:lineRule="auto"/>
        <w:rPr>
          <w:rFonts w:ascii="Times New Roman" w:hAnsi="Times New Roman" w:cs="Times New Roman"/>
          <w:b/>
          <w:sz w:val="24"/>
          <w:szCs w:val="24"/>
        </w:rPr>
      </w:pPr>
      <w:r w:rsidRPr="0089573F">
        <w:rPr>
          <w:rFonts w:ascii="Times New Roman" w:hAnsi="Times New Roman" w:cs="Times New Roman"/>
          <w:b/>
          <w:sz w:val="24"/>
          <w:szCs w:val="24"/>
        </w:rPr>
        <w:t>§ 61405</w:t>
      </w:r>
      <w:r w:rsidR="0060579E">
        <w:rPr>
          <w:rFonts w:ascii="Times New Roman" w:hAnsi="Times New Roman" w:cs="Times New Roman"/>
          <w:b/>
          <w:sz w:val="24"/>
          <w:szCs w:val="24"/>
        </w:rPr>
        <w:t xml:space="preserve"> : </w:t>
      </w:r>
      <w:r w:rsidRPr="0089573F">
        <w:rPr>
          <w:rFonts w:ascii="Times New Roman" w:hAnsi="Times New Roman" w:cs="Times New Roman"/>
          <w:b/>
          <w:sz w:val="24"/>
          <w:szCs w:val="24"/>
        </w:rPr>
        <w:t>Produits exclus partiellement du droit à déduction</w:t>
      </w:r>
      <w:r w:rsidR="00843892">
        <w:rPr>
          <w:rFonts w:ascii="Times New Roman" w:hAnsi="Times New Roman" w:cs="Times New Roman"/>
          <w:b/>
          <w:sz w:val="24"/>
          <w:szCs w:val="24"/>
        </w:rPr>
        <w:t xml:space="preserve"> </w:t>
      </w:r>
      <w:r w:rsidR="00843892" w:rsidRPr="00843892">
        <w:rPr>
          <w:rFonts w:ascii="Times New Roman" w:eastAsia="Times New Roman" w:hAnsi="Times New Roman" w:cs="Times New Roman"/>
        </w:rPr>
        <w:t>(coefficient d’admission</w:t>
      </w:r>
      <w:r w:rsidR="00173810">
        <w:rPr>
          <w:rFonts w:ascii="Times New Roman" w:eastAsia="Times New Roman" w:hAnsi="Times New Roman" w:cs="Times New Roman"/>
        </w:rPr>
        <w:t xml:space="preserve"> compris entre zéro et un)</w:t>
      </w:r>
    </w:p>
    <w:p w:rsidR="00037654" w:rsidRDefault="00BC696C" w:rsidP="005A30B2">
      <w:pPr>
        <w:pStyle w:val="NormalWeb"/>
        <w:spacing w:before="40" w:beforeAutospacing="0" w:after="0" w:afterAutospacing="0"/>
        <w:ind w:left="252" w:hanging="252"/>
        <w:jc w:val="both"/>
        <w:rPr>
          <w:sz w:val="22"/>
          <w:szCs w:val="22"/>
          <w:lang w:val="fr-FR"/>
        </w:rPr>
      </w:pPr>
      <w:r>
        <w:rPr>
          <w:b/>
          <w:sz w:val="22"/>
          <w:szCs w:val="22"/>
          <w:lang w:val="fr-FR"/>
        </w:rPr>
        <w:t>« </w:t>
      </w:r>
      <w:r w:rsidR="005A30B2" w:rsidRPr="00643568">
        <w:rPr>
          <w:b/>
          <w:sz w:val="22"/>
          <w:szCs w:val="22"/>
          <w:lang w:val="fr-FR"/>
        </w:rPr>
        <w:t xml:space="preserve">a. </w:t>
      </w:r>
      <w:r w:rsidR="005A30B2" w:rsidRPr="00643568">
        <w:rPr>
          <w:sz w:val="22"/>
          <w:szCs w:val="22"/>
          <w:lang w:val="fr-FR"/>
        </w:rPr>
        <w:t>N’ouvrent droit à déduction qu’à hauteur</w:t>
      </w:r>
      <w:r w:rsidR="005A30B2" w:rsidRPr="00643568">
        <w:rPr>
          <w:b/>
          <w:sz w:val="22"/>
          <w:szCs w:val="22"/>
          <w:lang w:val="fr-FR"/>
        </w:rPr>
        <w:t xml:space="preserve"> </w:t>
      </w:r>
      <w:r w:rsidR="005A30B2" w:rsidRPr="00643568">
        <w:rPr>
          <w:sz w:val="22"/>
          <w:szCs w:val="22"/>
          <w:lang w:val="fr-FR"/>
        </w:rPr>
        <w:t xml:space="preserve">de </w:t>
      </w:r>
      <w:r w:rsidR="005A30B2" w:rsidRPr="00643568">
        <w:rPr>
          <w:b/>
          <w:sz w:val="22"/>
          <w:szCs w:val="22"/>
          <w:lang w:val="fr-FR"/>
        </w:rPr>
        <w:t>80 %</w:t>
      </w:r>
      <w:r w:rsidR="005A30B2" w:rsidRPr="00643568">
        <w:rPr>
          <w:sz w:val="22"/>
          <w:szCs w:val="22"/>
          <w:lang w:val="fr-FR"/>
        </w:rPr>
        <w:t xml:space="preserve"> du montant de la taxe les ayant grevés</w:t>
      </w:r>
      <w:r w:rsidR="00D8594E">
        <w:rPr>
          <w:sz w:val="22"/>
          <w:szCs w:val="22"/>
          <w:lang w:val="fr-FR"/>
        </w:rPr>
        <w:t xml:space="preserve"> </w:t>
      </w:r>
      <w:r w:rsidR="00D8594E" w:rsidRPr="00D8594E">
        <w:rPr>
          <w:lang w:val="fr-FR"/>
        </w:rPr>
        <w:t xml:space="preserve">(coefficient d’admission égal à </w:t>
      </w:r>
      <w:r w:rsidR="00D8594E">
        <w:rPr>
          <w:lang w:val="fr-FR"/>
        </w:rPr>
        <w:t>0,8)</w:t>
      </w:r>
      <w:r w:rsidR="005A30B2" w:rsidRPr="00643568">
        <w:rPr>
          <w:sz w:val="22"/>
          <w:szCs w:val="22"/>
          <w:lang w:val="fr-FR"/>
        </w:rPr>
        <w:t xml:space="preserve"> les </w:t>
      </w:r>
      <w:r w:rsidR="005A30B2" w:rsidRPr="00643568">
        <w:rPr>
          <w:b/>
          <w:sz w:val="22"/>
          <w:szCs w:val="22"/>
          <w:lang w:val="fr-FR"/>
        </w:rPr>
        <w:t xml:space="preserve">gazoles </w:t>
      </w:r>
      <w:r w:rsidR="005A30B2" w:rsidRPr="00643568">
        <w:rPr>
          <w:sz w:val="22"/>
          <w:szCs w:val="22"/>
          <w:lang w:val="fr-FR"/>
        </w:rPr>
        <w:t xml:space="preserve">et le </w:t>
      </w:r>
      <w:proofErr w:type="spellStart"/>
      <w:r w:rsidR="005A30B2" w:rsidRPr="00643568">
        <w:rPr>
          <w:b/>
          <w:sz w:val="22"/>
          <w:szCs w:val="22"/>
          <w:lang w:val="fr-FR"/>
        </w:rPr>
        <w:t>superéthanol</w:t>
      </w:r>
      <w:proofErr w:type="spellEnd"/>
      <w:r w:rsidR="005A30B2" w:rsidRPr="00643568">
        <w:rPr>
          <w:b/>
          <w:sz w:val="22"/>
          <w:szCs w:val="22"/>
          <w:lang w:val="fr-FR"/>
        </w:rPr>
        <w:t xml:space="preserve"> E85</w:t>
      </w:r>
      <w:r w:rsidR="005A30B2" w:rsidRPr="00643568">
        <w:rPr>
          <w:sz w:val="22"/>
          <w:szCs w:val="22"/>
          <w:lang w:val="fr-FR"/>
        </w:rPr>
        <w:t xml:space="preserve">, mentionnés aux indices d’identification 20, 22 et 55 du tableau B de l’article 265 du Code des douanes, utilisés comme carburants pour des </w:t>
      </w:r>
      <w:r w:rsidR="005A30B2" w:rsidRPr="00643568">
        <w:rPr>
          <w:b/>
          <w:sz w:val="22"/>
          <w:szCs w:val="22"/>
          <w:lang w:val="fr-FR"/>
        </w:rPr>
        <w:t>véhicules</w:t>
      </w:r>
      <w:r w:rsidR="005A30B2" w:rsidRPr="00643568">
        <w:rPr>
          <w:sz w:val="22"/>
          <w:szCs w:val="22"/>
          <w:lang w:val="fr-FR"/>
        </w:rPr>
        <w:t xml:space="preserve"> et engins </w:t>
      </w:r>
      <w:r w:rsidR="005A30B2" w:rsidRPr="005D5015">
        <w:rPr>
          <w:b/>
          <w:sz w:val="22"/>
          <w:szCs w:val="22"/>
          <w:lang w:val="fr-FR"/>
        </w:rPr>
        <w:t>exclus du droit à déduction</w:t>
      </w:r>
      <w:r w:rsidR="005D5015">
        <w:rPr>
          <w:sz w:val="22"/>
          <w:szCs w:val="22"/>
          <w:lang w:val="fr-FR"/>
        </w:rPr>
        <w:t xml:space="preserve"> ainsi que pour les véhicules et engins pris en location quand le preneur ne peut pas déduire la taxe relative à cette location</w:t>
      </w:r>
      <w:r w:rsidR="00037654">
        <w:rPr>
          <w:sz w:val="22"/>
          <w:szCs w:val="22"/>
          <w:lang w:val="fr-FR"/>
        </w:rPr>
        <w:t>…</w:t>
      </w:r>
    </w:p>
    <w:p w:rsidR="005A30B2" w:rsidRPr="00643568" w:rsidRDefault="00037654" w:rsidP="005A30B2">
      <w:pPr>
        <w:pStyle w:val="NormalWeb"/>
        <w:spacing w:before="40" w:beforeAutospacing="0" w:after="0" w:afterAutospacing="0"/>
        <w:ind w:left="252" w:hanging="252"/>
        <w:jc w:val="both"/>
        <w:rPr>
          <w:sz w:val="22"/>
          <w:szCs w:val="22"/>
          <w:lang w:val="fr-FR"/>
        </w:rPr>
      </w:pPr>
      <w:r w:rsidRPr="00037654">
        <w:rPr>
          <w:sz w:val="22"/>
          <w:szCs w:val="22"/>
          <w:lang w:val="fr-FR"/>
        </w:rPr>
        <w:t>Nota</w:t>
      </w:r>
      <w:r>
        <w:rPr>
          <w:sz w:val="22"/>
          <w:szCs w:val="22"/>
          <w:lang w:val="fr-FR"/>
        </w:rPr>
        <w:t> :</w:t>
      </w:r>
      <w:r w:rsidR="002C6CD9">
        <w:rPr>
          <w:sz w:val="22"/>
          <w:szCs w:val="22"/>
          <w:lang w:val="fr-FR"/>
        </w:rPr>
        <w:t xml:space="preserve"> </w:t>
      </w:r>
      <w:r>
        <w:rPr>
          <w:sz w:val="22"/>
          <w:szCs w:val="22"/>
          <w:lang w:val="fr-FR"/>
        </w:rPr>
        <w:t xml:space="preserve">La déduction est possible lorsque ces produits (gazole et </w:t>
      </w:r>
      <w:proofErr w:type="spellStart"/>
      <w:r>
        <w:rPr>
          <w:sz w:val="22"/>
          <w:szCs w:val="22"/>
          <w:lang w:val="fr-FR"/>
        </w:rPr>
        <w:t>superéthanol</w:t>
      </w:r>
      <w:proofErr w:type="spellEnd"/>
      <w:r>
        <w:rPr>
          <w:sz w:val="22"/>
          <w:szCs w:val="22"/>
          <w:lang w:val="fr-FR"/>
        </w:rPr>
        <w:t xml:space="preserve"> E85) sont utilisés comme carburants pour des </w:t>
      </w:r>
      <w:r w:rsidRPr="002C6CD9">
        <w:rPr>
          <w:b/>
          <w:sz w:val="22"/>
          <w:szCs w:val="22"/>
          <w:lang w:val="fr-FR"/>
        </w:rPr>
        <w:t>véhicules</w:t>
      </w:r>
      <w:r>
        <w:rPr>
          <w:sz w:val="22"/>
          <w:szCs w:val="22"/>
          <w:lang w:val="fr-FR"/>
        </w:rPr>
        <w:t xml:space="preserve"> ou engins </w:t>
      </w:r>
      <w:r w:rsidRPr="002C6CD9">
        <w:rPr>
          <w:b/>
          <w:sz w:val="22"/>
          <w:szCs w:val="22"/>
          <w:lang w:val="fr-FR"/>
        </w:rPr>
        <w:t>non exclus du droit à déduction</w:t>
      </w:r>
      <w:r>
        <w:rPr>
          <w:sz w:val="22"/>
          <w:szCs w:val="22"/>
          <w:lang w:val="fr-FR"/>
        </w:rPr>
        <w:t xml:space="preserve"> (tels que camions, camionnette</w:t>
      </w:r>
      <w:r w:rsidR="002C6CD9">
        <w:rPr>
          <w:sz w:val="22"/>
          <w:szCs w:val="22"/>
          <w:lang w:val="fr-FR"/>
        </w:rPr>
        <w:t>, voitures d’auto-écoles…), y compris lorsqu’ils sont pris en location…</w:t>
      </w:r>
      <w:r w:rsidR="00BC696C">
        <w:rPr>
          <w:sz w:val="22"/>
          <w:szCs w:val="22"/>
          <w:lang w:val="fr-FR"/>
        </w:rPr>
        <w:t> »</w:t>
      </w:r>
    </w:p>
    <w:p w:rsidR="005A30B2" w:rsidRPr="00643568" w:rsidRDefault="005A30B2" w:rsidP="001A22BA">
      <w:pPr>
        <w:pStyle w:val="Corpsdetexte"/>
        <w:rPr>
          <w:b/>
          <w:sz w:val="22"/>
          <w:szCs w:val="22"/>
        </w:rPr>
      </w:pPr>
    </w:p>
    <w:p w:rsidR="005E71AB" w:rsidRDefault="005E71AB">
      <w:pPr>
        <w:rPr>
          <w:rFonts w:ascii="Times New Roman" w:eastAsia="Times New Roman" w:hAnsi="Times New Roman" w:cs="Times New Roman"/>
          <w:lang w:eastAsia="fr-FR"/>
        </w:rPr>
      </w:pPr>
      <w:r>
        <w:br w:type="page"/>
      </w:r>
    </w:p>
    <w:p w:rsidR="005E71AB" w:rsidRPr="0060579E" w:rsidRDefault="005E71AB" w:rsidP="005E71AB">
      <w:pPr>
        <w:pStyle w:val="Corpsdetexte"/>
        <w:rPr>
          <w:b/>
          <w:i/>
          <w:sz w:val="24"/>
          <w:szCs w:val="24"/>
        </w:rPr>
      </w:pPr>
      <w:r w:rsidRPr="0060579E">
        <w:rPr>
          <w:b/>
          <w:i/>
          <w:sz w:val="24"/>
          <w:szCs w:val="24"/>
        </w:rPr>
        <w:lastRenderedPageBreak/>
        <w:t>Complément : le taux de TVA applicable sur les installations et les éléments de cuisine</w:t>
      </w:r>
    </w:p>
    <w:p w:rsidR="005E71AB" w:rsidRPr="0060579E" w:rsidRDefault="005E71AB" w:rsidP="005E71AB">
      <w:pPr>
        <w:spacing w:after="0" w:line="240" w:lineRule="auto"/>
        <w:jc w:val="both"/>
        <w:rPr>
          <w:rFonts w:ascii="Times New Roman" w:hAnsi="Times New Roman" w:cs="Times New Roman"/>
          <w:sz w:val="24"/>
          <w:szCs w:val="24"/>
        </w:rPr>
      </w:pPr>
    </w:p>
    <w:p w:rsidR="005E71AB" w:rsidRPr="0060579E" w:rsidRDefault="005E71AB" w:rsidP="005E71AB">
      <w:pPr>
        <w:spacing w:after="0" w:line="240" w:lineRule="auto"/>
        <w:jc w:val="both"/>
        <w:rPr>
          <w:rFonts w:ascii="Times New Roman" w:hAnsi="Times New Roman" w:cs="Times New Roman"/>
          <w:b/>
          <w:sz w:val="24"/>
          <w:szCs w:val="24"/>
        </w:rPr>
      </w:pPr>
      <w:r w:rsidRPr="0060579E">
        <w:rPr>
          <w:rFonts w:ascii="Times New Roman" w:hAnsi="Times New Roman" w:cs="Times New Roman"/>
          <w:b/>
          <w:sz w:val="24"/>
          <w:szCs w:val="24"/>
        </w:rPr>
        <w:t>Extrait du BOFIP (Bulletin Officiel des Finances Publiques – Impôts</w:t>
      </w:r>
    </w:p>
    <w:p w:rsidR="005E71AB" w:rsidRPr="0060579E" w:rsidRDefault="005E71AB" w:rsidP="005E71AB">
      <w:pPr>
        <w:spacing w:after="0" w:line="240" w:lineRule="auto"/>
        <w:jc w:val="both"/>
        <w:rPr>
          <w:rFonts w:ascii="Times New Roman" w:hAnsi="Times New Roman" w:cs="Times New Roman"/>
          <w:b/>
          <w:sz w:val="24"/>
          <w:szCs w:val="24"/>
        </w:rPr>
      </w:pPr>
      <w:r w:rsidRPr="0060579E">
        <w:rPr>
          <w:rFonts w:ascii="Times New Roman" w:hAnsi="Times New Roman" w:cs="Times New Roman"/>
          <w:b/>
          <w:sz w:val="24"/>
          <w:szCs w:val="24"/>
        </w:rPr>
        <w:t>Date de publication : 29 Septembre 2014</w:t>
      </w:r>
    </w:p>
    <w:p w:rsidR="005E71AB" w:rsidRPr="0060579E" w:rsidRDefault="005E71AB" w:rsidP="005E71AB">
      <w:pPr>
        <w:spacing w:before="100" w:beforeAutospacing="1" w:after="100" w:afterAutospacing="1" w:line="240" w:lineRule="auto"/>
        <w:jc w:val="both"/>
        <w:outlineLvl w:val="1"/>
        <w:rPr>
          <w:rFonts w:ascii="Times New Roman" w:eastAsia="Times New Roman" w:hAnsi="Times New Roman" w:cs="Times New Roman"/>
          <w:b/>
          <w:bCs/>
          <w:sz w:val="24"/>
          <w:szCs w:val="24"/>
          <w:lang w:eastAsia="fr-FR"/>
        </w:rPr>
      </w:pPr>
      <w:r w:rsidRPr="0060579E">
        <w:rPr>
          <w:rFonts w:ascii="Times New Roman" w:eastAsia="Times New Roman" w:hAnsi="Times New Roman" w:cs="Times New Roman"/>
          <w:b/>
          <w:bCs/>
          <w:sz w:val="24"/>
          <w:szCs w:val="24"/>
          <w:lang w:eastAsia="fr-FR"/>
        </w:rPr>
        <w:t>…C. Équipements de cuisine, de salle de bains et de rangement</w:t>
      </w:r>
    </w:p>
    <w:p w:rsidR="005E71AB" w:rsidRPr="00407E07" w:rsidRDefault="005E71AB" w:rsidP="005E71AB">
      <w:pPr>
        <w:spacing w:after="0" w:line="240" w:lineRule="auto"/>
        <w:jc w:val="both"/>
        <w:outlineLvl w:val="2"/>
        <w:rPr>
          <w:rFonts w:ascii="Times New Roman" w:eastAsia="Times New Roman" w:hAnsi="Times New Roman" w:cs="Times New Roman"/>
          <w:b/>
          <w:bCs/>
          <w:sz w:val="24"/>
          <w:szCs w:val="24"/>
          <w:lang w:eastAsia="fr-FR"/>
        </w:rPr>
      </w:pPr>
      <w:r w:rsidRPr="00407E07">
        <w:rPr>
          <w:rFonts w:ascii="Times New Roman" w:eastAsia="Times New Roman" w:hAnsi="Times New Roman" w:cs="Times New Roman"/>
          <w:b/>
          <w:bCs/>
          <w:sz w:val="24"/>
          <w:szCs w:val="24"/>
          <w:lang w:eastAsia="fr-FR"/>
        </w:rPr>
        <w:t>1. Conditions générales d'éligibilité au taux réduit</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270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D'une manière générale, le taux réduit n'est applicable à la fourniture et la pose des équipements de cuisine ou de salle de bains que s'ils s'encastrent ou s'incorporent au bâti et qu'ils ne restent pas à l'état d'éléments dont le désassemblage serait possible sans détériorer le bâti ou le meuble.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280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Selon ce principe l'application du taux réduit est subordonnée à la réunion des conditions suivantes :</w:t>
      </w:r>
    </w:p>
    <w:p w:rsidR="005E71AB" w:rsidRPr="0060579E" w:rsidRDefault="005E71AB" w:rsidP="005E71AB">
      <w:pPr>
        <w:spacing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 l’incorporation des équipements au bâti ;</w:t>
      </w:r>
    </w:p>
    <w:p w:rsidR="005E71AB" w:rsidRPr="0060579E" w:rsidRDefault="005E71AB" w:rsidP="005E71AB">
      <w:pPr>
        <w:spacing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 l'adaptation des équipements à la configuration des locaux ;</w:t>
      </w:r>
    </w:p>
    <w:p w:rsidR="005E71AB" w:rsidRPr="0060579E" w:rsidRDefault="005E71AB" w:rsidP="005E71AB">
      <w:pPr>
        <w:spacing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 les équipements mis en œuvre font partie d'une installation complète.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290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Cette analyse conduit à permettre l'application du taux réduit notamment aux éléments de cuisine, bien que leur fixation ne soit généralement assurée que par des attaches simplement vissées, dès lors qu'ils s’intègrent dans un aménagement global et qu’ils peuvent, en conséquence, être considérés comme incorporés aux locaux dans lesquels ils sont installés.</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300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Restent en revanche soumis au taux normal, tant en ce qui concerne leur fourniture que leur pose, tous les éléments de rangement autonomes fixés sommairement ou posés au sol et dont la fixation au mur a simplement pour objet d'en assurer une meilleure stabilité, le meuble restant par ailleurs amovible et son retrait éventuel n'étant pas susceptible de provoquer d'altération sensible.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310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Les éléments isolés installés en remplacement d'éléments usagés ou défectueux relèvent du même taux que les éléments remplacés (ex : portes et rayonnages de placards ou bibliothèques fabriqués sur mesure).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Il en est de même de leur montage ou de leur assemblage lorsque ceux-ci sont facturés distinctement.</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320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En revanche, les équipements ménagers restent soumis au taux normal, même s'il s'agit d'équipements intégrés dans les meubles (fours et réfrigérateurs encastrés, etc.).</w:t>
      </w:r>
    </w:p>
    <w:p w:rsidR="005E71AB" w:rsidRPr="00407E07" w:rsidRDefault="005E71AB" w:rsidP="005E71AB">
      <w:pPr>
        <w:spacing w:before="100" w:beforeAutospacing="1" w:after="100" w:afterAutospacing="1" w:line="240" w:lineRule="auto"/>
        <w:jc w:val="both"/>
        <w:rPr>
          <w:rFonts w:ascii="Times New Roman" w:eastAsia="Times New Roman" w:hAnsi="Times New Roman" w:cs="Times New Roman"/>
          <w:sz w:val="24"/>
          <w:szCs w:val="24"/>
          <w:lang w:eastAsia="fr-FR"/>
        </w:rPr>
      </w:pPr>
      <w:r w:rsidRPr="00407E07">
        <w:rPr>
          <w:rFonts w:ascii="Times New Roman" w:eastAsia="Times New Roman" w:hAnsi="Times New Roman" w:cs="Times New Roman"/>
          <w:b/>
          <w:bCs/>
          <w:sz w:val="24"/>
          <w:szCs w:val="24"/>
          <w:lang w:eastAsia="fr-FR"/>
        </w:rPr>
        <w:lastRenderedPageBreak/>
        <w:t>RES N°2010/04 (TCA) du 09 février 2010 : Taux de TVA applicable aux travaux dans les logements de plus de deux ans. Pose partielle d'une cuisine équipée par un prestataire de travaux.</w:t>
      </w:r>
      <w:r w:rsidRPr="00407E07">
        <w:rPr>
          <w:rFonts w:ascii="Times New Roman" w:eastAsia="Times New Roman" w:hAnsi="Times New Roman" w:cs="Times New Roman"/>
          <w:sz w:val="24"/>
          <w:szCs w:val="24"/>
          <w:lang w:eastAsia="fr-FR"/>
        </w:rPr>
        <w:t xml:space="preserve"> </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b/>
          <w:bCs/>
          <w:lang w:eastAsia="fr-FR"/>
        </w:rPr>
        <w:t>QUESTION :</w:t>
      </w:r>
      <w:r w:rsidRPr="0060579E">
        <w:rPr>
          <w:rFonts w:ascii="Times New Roman" w:eastAsia="Times New Roman" w:hAnsi="Times New Roman" w:cs="Times New Roman"/>
          <w:lang w:eastAsia="fr-FR"/>
        </w:rPr>
        <w:t xml:space="preserve"> Dans le cadre de la mesure d’application du taux réduit de la TVA aux travaux d'amélioration, de transformation, d'aménagement et d'entretien des logements achevés depuis plus de deux ans, prévue à l'</w:t>
      </w:r>
      <w:hyperlink r:id="rId8" w:tgtFrame="_blank" w:tooltip="Code général des impôts Article 279-0 bis" w:history="1">
        <w:r w:rsidRPr="0060579E">
          <w:rPr>
            <w:rFonts w:ascii="Times New Roman" w:eastAsia="Times New Roman" w:hAnsi="Times New Roman" w:cs="Times New Roman"/>
            <w:color w:val="0000FF"/>
            <w:u w:val="single"/>
            <w:lang w:eastAsia="fr-FR"/>
          </w:rPr>
          <w:t>article 279-0 bis du code général des impôts (CGI)</w:t>
        </w:r>
      </w:hyperlink>
      <w:r w:rsidRPr="0060579E">
        <w:rPr>
          <w:rFonts w:ascii="Times New Roman" w:eastAsia="Times New Roman" w:hAnsi="Times New Roman" w:cs="Times New Roman"/>
          <w:lang w:eastAsia="fr-FR"/>
        </w:rPr>
        <w:t>, quel est le taux de TVA applicable à une prestation d’installation partielle d’une cuisine ?</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b/>
          <w:bCs/>
          <w:lang w:eastAsia="fr-FR"/>
        </w:rPr>
        <w:t>REPONSE :</w:t>
      </w:r>
      <w:r w:rsidRPr="0060579E">
        <w:rPr>
          <w:rFonts w:ascii="Times New Roman" w:eastAsia="Times New Roman" w:hAnsi="Times New Roman" w:cs="Times New Roman"/>
          <w:lang w:eastAsia="fr-FR"/>
        </w:rPr>
        <w:t xml:space="preserve"> L'article 279-0 bis du code général des impôts (CGI) soumet au taux réduit de la TVA les travaux d'amélioration, de transformation, d'aménagement et d'entretien des locaux à usage d'habitation achevés depuis plus de deux ans à l'exclusion des travaux concourant, sur une période de deux ans au plus, à la production d'immeubles neufs au sens de l’</w:t>
      </w:r>
      <w:hyperlink r:id="rId9" w:tgtFrame="_blank" w:tooltip="Code général des impôts Article 257" w:history="1">
        <w:r w:rsidRPr="0060579E">
          <w:rPr>
            <w:rFonts w:ascii="Times New Roman" w:eastAsia="Times New Roman" w:hAnsi="Times New Roman" w:cs="Times New Roman"/>
            <w:color w:val="0000FF"/>
            <w:u w:val="single"/>
            <w:lang w:eastAsia="fr-FR"/>
          </w:rPr>
          <w:t>article 257 du code général des impôts</w:t>
        </w:r>
      </w:hyperlink>
      <w:r w:rsidRPr="0060579E">
        <w:rPr>
          <w:rFonts w:ascii="Times New Roman" w:eastAsia="Times New Roman" w:hAnsi="Times New Roman" w:cs="Times New Roman"/>
          <w:lang w:eastAsia="fr-FR"/>
        </w:rPr>
        <w:t>.</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 xml:space="preserve">Il est rappelé (cf. </w:t>
      </w:r>
      <w:hyperlink r:id="rId10" w:anchor="1666-PGP_290_0121" w:history="1">
        <w:r w:rsidRPr="0060579E">
          <w:rPr>
            <w:rFonts w:ascii="Times New Roman" w:eastAsia="Times New Roman" w:hAnsi="Times New Roman" w:cs="Times New Roman"/>
            <w:color w:val="0000FF"/>
            <w:u w:val="single"/>
            <w:lang w:eastAsia="fr-FR"/>
          </w:rPr>
          <w:t>III-C-1 § 290</w:t>
        </w:r>
      </w:hyperlink>
      <w:r w:rsidRPr="0060579E">
        <w:rPr>
          <w:rFonts w:ascii="Times New Roman" w:eastAsia="Times New Roman" w:hAnsi="Times New Roman" w:cs="Times New Roman"/>
          <w:lang w:eastAsia="fr-FR"/>
        </w:rPr>
        <w:t xml:space="preserve">) que l’application du taux réduit de la TVA aux éléments de cuisine est subordonnée à leur intégration dans un aménagement </w:t>
      </w:r>
      <w:r w:rsidR="000E5076" w:rsidRPr="0060579E">
        <w:rPr>
          <w:rFonts w:ascii="Times New Roman" w:eastAsia="Times New Roman" w:hAnsi="Times New Roman" w:cs="Times New Roman"/>
          <w:lang w:eastAsia="fr-FR"/>
        </w:rPr>
        <w:t>global.</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En effet, c’est la mise en œuvre de ces éléments dans une installation complète qui permet de considérer qu’ils sont incorporés aux locaux dans lesquels ils sont installés, bien que leur fixation ne soit généralement assurée que par des attaches simplement vissées.</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Au cas particulier, les professionnels de la pose d’équipements de cuisine qui laisseraient le soin au client final de réaliser lui-même une partie de la pose de sa cuisine, ne peuvent être considérés comme procédant à une installation complète telle que visée ci-dessus.</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Ce type de prestation, qui s’analyse comme la pose partielle d’une cuisine, ne peut être facturée au taux réduit de la TVA et doit en conséquence être soumise au taux normal de la taxe.</w:t>
      </w:r>
    </w:p>
    <w:p w:rsidR="008543BA" w:rsidRPr="0060579E" w:rsidRDefault="005E71AB" w:rsidP="0060579E">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Ces précisions s’appliquent également à la fourniture et à la pose d’équipements de salle de bain et de rangement.</w:t>
      </w:r>
      <w:bookmarkStart w:id="0" w:name="_GoBack"/>
      <w:bookmarkEnd w:id="0"/>
    </w:p>
    <w:sectPr w:rsidR="008543BA" w:rsidRPr="0060579E" w:rsidSect="007A649D">
      <w:footerReference w:type="default" r:id="rId11"/>
      <w:pgSz w:w="11906" w:h="16838" w:code="9"/>
      <w:pgMar w:top="1418" w:right="964" w:bottom="1418"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DF2" w:rsidRDefault="002C4DF2" w:rsidP="008C2916">
      <w:pPr>
        <w:spacing w:after="0" w:line="240" w:lineRule="auto"/>
      </w:pPr>
      <w:r>
        <w:separator/>
      </w:r>
    </w:p>
  </w:endnote>
  <w:endnote w:type="continuationSeparator" w:id="0">
    <w:p w:rsidR="002C4DF2" w:rsidRDefault="002C4DF2" w:rsidP="008C2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916" w:rsidRPr="008C2916" w:rsidRDefault="001800AA" w:rsidP="008C2916">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rPr>
      <w:t>Document 6</w:t>
    </w:r>
    <w:r>
      <w:rPr>
        <w:color w:val="548DD4" w:themeColor="text2" w:themeTint="99"/>
        <w:spacing w:val="60"/>
        <w:sz w:val="24"/>
        <w:szCs w:val="24"/>
      </w:rPr>
      <w:tab/>
    </w:r>
    <w:r w:rsidR="008C2916">
      <w:rPr>
        <w:color w:val="548DD4" w:themeColor="text2" w:themeTint="99"/>
        <w:spacing w:val="60"/>
        <w:sz w:val="24"/>
        <w:szCs w:val="24"/>
      </w:rPr>
      <w:t>Page</w:t>
    </w:r>
    <w:r w:rsidR="008C2916">
      <w:rPr>
        <w:color w:val="548DD4" w:themeColor="text2" w:themeTint="99"/>
        <w:sz w:val="24"/>
        <w:szCs w:val="24"/>
      </w:rPr>
      <w:t xml:space="preserve"> </w:t>
    </w:r>
    <w:r w:rsidR="00423480">
      <w:rPr>
        <w:color w:val="17365D" w:themeColor="text2" w:themeShade="BF"/>
        <w:sz w:val="24"/>
        <w:szCs w:val="24"/>
      </w:rPr>
      <w:fldChar w:fldCharType="begin"/>
    </w:r>
    <w:r w:rsidR="008C2916">
      <w:rPr>
        <w:color w:val="17365D" w:themeColor="text2" w:themeShade="BF"/>
        <w:sz w:val="24"/>
        <w:szCs w:val="24"/>
      </w:rPr>
      <w:instrText>PAGE   \* MERGEFORMAT</w:instrText>
    </w:r>
    <w:r w:rsidR="00423480">
      <w:rPr>
        <w:color w:val="17365D" w:themeColor="text2" w:themeShade="BF"/>
        <w:sz w:val="24"/>
        <w:szCs w:val="24"/>
      </w:rPr>
      <w:fldChar w:fldCharType="separate"/>
    </w:r>
    <w:r w:rsidR="00645386">
      <w:rPr>
        <w:noProof/>
        <w:color w:val="17365D" w:themeColor="text2" w:themeShade="BF"/>
        <w:sz w:val="24"/>
        <w:szCs w:val="24"/>
      </w:rPr>
      <w:t>1</w:t>
    </w:r>
    <w:r w:rsidR="00423480">
      <w:rPr>
        <w:color w:val="17365D" w:themeColor="text2" w:themeShade="BF"/>
        <w:sz w:val="24"/>
        <w:szCs w:val="24"/>
      </w:rPr>
      <w:fldChar w:fldCharType="end"/>
    </w:r>
    <w:r w:rsidR="008C2916">
      <w:rPr>
        <w:color w:val="17365D" w:themeColor="text2" w:themeShade="BF"/>
        <w:sz w:val="24"/>
        <w:szCs w:val="24"/>
      </w:rPr>
      <w:t xml:space="preserve"> | </w:t>
    </w:r>
    <w:fldSimple w:instr="NUMPAGES  \* Arabic  \* MERGEFORMAT">
      <w:r w:rsidR="00645386">
        <w:rPr>
          <w:noProof/>
          <w:color w:val="17365D" w:themeColor="text2" w:themeShade="BF"/>
          <w:sz w:val="24"/>
          <w:szCs w:val="24"/>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DF2" w:rsidRDefault="002C4DF2" w:rsidP="008C2916">
      <w:pPr>
        <w:spacing w:after="0" w:line="240" w:lineRule="auto"/>
      </w:pPr>
      <w:r>
        <w:separator/>
      </w:r>
    </w:p>
  </w:footnote>
  <w:footnote w:type="continuationSeparator" w:id="0">
    <w:p w:rsidR="002C4DF2" w:rsidRDefault="002C4DF2" w:rsidP="008C29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C1B59"/>
    <w:multiLevelType w:val="multilevel"/>
    <w:tmpl w:val="A6B6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056B7D"/>
    <w:rsid w:val="00007230"/>
    <w:rsid w:val="000103A5"/>
    <w:rsid w:val="00015B5A"/>
    <w:rsid w:val="00024553"/>
    <w:rsid w:val="000307CD"/>
    <w:rsid w:val="00033404"/>
    <w:rsid w:val="00037654"/>
    <w:rsid w:val="00056B7D"/>
    <w:rsid w:val="000659A8"/>
    <w:rsid w:val="00071083"/>
    <w:rsid w:val="000B078E"/>
    <w:rsid w:val="000B5758"/>
    <w:rsid w:val="000B5C41"/>
    <w:rsid w:val="000B624F"/>
    <w:rsid w:val="000C137C"/>
    <w:rsid w:val="000C2781"/>
    <w:rsid w:val="000C4829"/>
    <w:rsid w:val="000D153D"/>
    <w:rsid w:val="000D3FFB"/>
    <w:rsid w:val="000D44F3"/>
    <w:rsid w:val="000D5410"/>
    <w:rsid w:val="000E5076"/>
    <w:rsid w:val="000F5895"/>
    <w:rsid w:val="00100C61"/>
    <w:rsid w:val="0011589C"/>
    <w:rsid w:val="00124C39"/>
    <w:rsid w:val="00125696"/>
    <w:rsid w:val="00125A97"/>
    <w:rsid w:val="0014349E"/>
    <w:rsid w:val="0014721F"/>
    <w:rsid w:val="0015248B"/>
    <w:rsid w:val="001557F4"/>
    <w:rsid w:val="00166DA3"/>
    <w:rsid w:val="001730F4"/>
    <w:rsid w:val="00173810"/>
    <w:rsid w:val="001745CD"/>
    <w:rsid w:val="001773F1"/>
    <w:rsid w:val="001800AA"/>
    <w:rsid w:val="001920ED"/>
    <w:rsid w:val="001A22BA"/>
    <w:rsid w:val="001A3BB9"/>
    <w:rsid w:val="001B640A"/>
    <w:rsid w:val="001C29B7"/>
    <w:rsid w:val="00206339"/>
    <w:rsid w:val="002119EB"/>
    <w:rsid w:val="002122C2"/>
    <w:rsid w:val="00212819"/>
    <w:rsid w:val="0021496B"/>
    <w:rsid w:val="00232FFD"/>
    <w:rsid w:val="002408B4"/>
    <w:rsid w:val="002434C4"/>
    <w:rsid w:val="002465C4"/>
    <w:rsid w:val="002726EE"/>
    <w:rsid w:val="00284448"/>
    <w:rsid w:val="0029697A"/>
    <w:rsid w:val="002A2A09"/>
    <w:rsid w:val="002A3525"/>
    <w:rsid w:val="002A4EB2"/>
    <w:rsid w:val="002A7A70"/>
    <w:rsid w:val="002B206C"/>
    <w:rsid w:val="002B3547"/>
    <w:rsid w:val="002C4DF2"/>
    <w:rsid w:val="002C6CD9"/>
    <w:rsid w:val="002D3EDF"/>
    <w:rsid w:val="002F1A74"/>
    <w:rsid w:val="002F4600"/>
    <w:rsid w:val="00301344"/>
    <w:rsid w:val="00314AB0"/>
    <w:rsid w:val="00327BE1"/>
    <w:rsid w:val="00336B10"/>
    <w:rsid w:val="00336E40"/>
    <w:rsid w:val="0034483A"/>
    <w:rsid w:val="00347901"/>
    <w:rsid w:val="0035648B"/>
    <w:rsid w:val="003636B3"/>
    <w:rsid w:val="00382B2B"/>
    <w:rsid w:val="0039012D"/>
    <w:rsid w:val="00391268"/>
    <w:rsid w:val="00396C3C"/>
    <w:rsid w:val="003A45C2"/>
    <w:rsid w:val="003A6759"/>
    <w:rsid w:val="003C2F6F"/>
    <w:rsid w:val="003D3C91"/>
    <w:rsid w:val="003E42D7"/>
    <w:rsid w:val="003F4A26"/>
    <w:rsid w:val="003F4F6E"/>
    <w:rsid w:val="004045F0"/>
    <w:rsid w:val="0041091A"/>
    <w:rsid w:val="00413D6B"/>
    <w:rsid w:val="0042320F"/>
    <w:rsid w:val="00423480"/>
    <w:rsid w:val="00441E5D"/>
    <w:rsid w:val="004428C3"/>
    <w:rsid w:val="00456FEA"/>
    <w:rsid w:val="00467C93"/>
    <w:rsid w:val="00474B53"/>
    <w:rsid w:val="00480998"/>
    <w:rsid w:val="00492925"/>
    <w:rsid w:val="004A00EE"/>
    <w:rsid w:val="004A455B"/>
    <w:rsid w:val="004B3BBD"/>
    <w:rsid w:val="004C12E3"/>
    <w:rsid w:val="004C436B"/>
    <w:rsid w:val="004C53F2"/>
    <w:rsid w:val="004D7EA2"/>
    <w:rsid w:val="004E73B2"/>
    <w:rsid w:val="00503096"/>
    <w:rsid w:val="00515048"/>
    <w:rsid w:val="005211BD"/>
    <w:rsid w:val="005249CF"/>
    <w:rsid w:val="00546308"/>
    <w:rsid w:val="005523AF"/>
    <w:rsid w:val="00567B1C"/>
    <w:rsid w:val="00570653"/>
    <w:rsid w:val="0057244E"/>
    <w:rsid w:val="00581D13"/>
    <w:rsid w:val="005910A9"/>
    <w:rsid w:val="00595D41"/>
    <w:rsid w:val="005A2453"/>
    <w:rsid w:val="005A30B2"/>
    <w:rsid w:val="005B7CD3"/>
    <w:rsid w:val="005C188D"/>
    <w:rsid w:val="005D5015"/>
    <w:rsid w:val="005E71AB"/>
    <w:rsid w:val="005F53F7"/>
    <w:rsid w:val="005F7BDC"/>
    <w:rsid w:val="0060579E"/>
    <w:rsid w:val="006105EC"/>
    <w:rsid w:val="00624BA8"/>
    <w:rsid w:val="00640BC6"/>
    <w:rsid w:val="00642596"/>
    <w:rsid w:val="0064311E"/>
    <w:rsid w:val="00643568"/>
    <w:rsid w:val="00645386"/>
    <w:rsid w:val="00655171"/>
    <w:rsid w:val="00657075"/>
    <w:rsid w:val="00675D35"/>
    <w:rsid w:val="0068193C"/>
    <w:rsid w:val="00682988"/>
    <w:rsid w:val="006B0B20"/>
    <w:rsid w:val="006B6B65"/>
    <w:rsid w:val="006C2D99"/>
    <w:rsid w:val="006D437C"/>
    <w:rsid w:val="006E7003"/>
    <w:rsid w:val="006F14BC"/>
    <w:rsid w:val="006F32C2"/>
    <w:rsid w:val="007464ED"/>
    <w:rsid w:val="0074747C"/>
    <w:rsid w:val="00780F37"/>
    <w:rsid w:val="007A42B4"/>
    <w:rsid w:val="007A49E2"/>
    <w:rsid w:val="007A649D"/>
    <w:rsid w:val="007B7DE5"/>
    <w:rsid w:val="007C043A"/>
    <w:rsid w:val="007C2701"/>
    <w:rsid w:val="007C50D7"/>
    <w:rsid w:val="007C6EAE"/>
    <w:rsid w:val="007D01E1"/>
    <w:rsid w:val="007D47ED"/>
    <w:rsid w:val="007F32F6"/>
    <w:rsid w:val="008029D9"/>
    <w:rsid w:val="00802B4D"/>
    <w:rsid w:val="00805363"/>
    <w:rsid w:val="008106B6"/>
    <w:rsid w:val="00835100"/>
    <w:rsid w:val="00843892"/>
    <w:rsid w:val="0084762E"/>
    <w:rsid w:val="00850BC8"/>
    <w:rsid w:val="008529E2"/>
    <w:rsid w:val="00853599"/>
    <w:rsid w:val="008543BA"/>
    <w:rsid w:val="00855DE6"/>
    <w:rsid w:val="00865E92"/>
    <w:rsid w:val="008863DE"/>
    <w:rsid w:val="008933AB"/>
    <w:rsid w:val="0089573F"/>
    <w:rsid w:val="008A1175"/>
    <w:rsid w:val="008A26C7"/>
    <w:rsid w:val="008A4168"/>
    <w:rsid w:val="008A7AAE"/>
    <w:rsid w:val="008B102D"/>
    <w:rsid w:val="008B1F27"/>
    <w:rsid w:val="008B5A8D"/>
    <w:rsid w:val="008C2916"/>
    <w:rsid w:val="008C29B1"/>
    <w:rsid w:val="008D2E04"/>
    <w:rsid w:val="008E1532"/>
    <w:rsid w:val="008E3FB0"/>
    <w:rsid w:val="008E65CD"/>
    <w:rsid w:val="008F7D3F"/>
    <w:rsid w:val="00914DAD"/>
    <w:rsid w:val="00916611"/>
    <w:rsid w:val="009242C4"/>
    <w:rsid w:val="00925390"/>
    <w:rsid w:val="00931CE2"/>
    <w:rsid w:val="00935A0B"/>
    <w:rsid w:val="00942E38"/>
    <w:rsid w:val="009476AE"/>
    <w:rsid w:val="00951B70"/>
    <w:rsid w:val="00953DB0"/>
    <w:rsid w:val="00976B56"/>
    <w:rsid w:val="00977ABB"/>
    <w:rsid w:val="009A47BF"/>
    <w:rsid w:val="009B06D0"/>
    <w:rsid w:val="009C2245"/>
    <w:rsid w:val="009D4782"/>
    <w:rsid w:val="009D6C29"/>
    <w:rsid w:val="009E4CDC"/>
    <w:rsid w:val="009E59DA"/>
    <w:rsid w:val="009F15B7"/>
    <w:rsid w:val="009F646E"/>
    <w:rsid w:val="00A066D7"/>
    <w:rsid w:val="00A11442"/>
    <w:rsid w:val="00A31F94"/>
    <w:rsid w:val="00A50018"/>
    <w:rsid w:val="00A614E9"/>
    <w:rsid w:val="00A76344"/>
    <w:rsid w:val="00AB3E9A"/>
    <w:rsid w:val="00AC46C4"/>
    <w:rsid w:val="00AE5282"/>
    <w:rsid w:val="00AE5ED8"/>
    <w:rsid w:val="00AF6DEF"/>
    <w:rsid w:val="00B005B0"/>
    <w:rsid w:val="00B00B46"/>
    <w:rsid w:val="00B34F6A"/>
    <w:rsid w:val="00B45937"/>
    <w:rsid w:val="00B4694F"/>
    <w:rsid w:val="00B5197F"/>
    <w:rsid w:val="00B527F9"/>
    <w:rsid w:val="00B52FD9"/>
    <w:rsid w:val="00B6117C"/>
    <w:rsid w:val="00B62F56"/>
    <w:rsid w:val="00B667E0"/>
    <w:rsid w:val="00B76A3A"/>
    <w:rsid w:val="00B81314"/>
    <w:rsid w:val="00B91CD8"/>
    <w:rsid w:val="00B933ED"/>
    <w:rsid w:val="00B97A68"/>
    <w:rsid w:val="00BA02ED"/>
    <w:rsid w:val="00BC121E"/>
    <w:rsid w:val="00BC696C"/>
    <w:rsid w:val="00BD117E"/>
    <w:rsid w:val="00BD6EB3"/>
    <w:rsid w:val="00BE2D0B"/>
    <w:rsid w:val="00C050C5"/>
    <w:rsid w:val="00C2428C"/>
    <w:rsid w:val="00C50D93"/>
    <w:rsid w:val="00C51977"/>
    <w:rsid w:val="00C754A9"/>
    <w:rsid w:val="00C91069"/>
    <w:rsid w:val="00C91D7A"/>
    <w:rsid w:val="00C92DB0"/>
    <w:rsid w:val="00CA5ED5"/>
    <w:rsid w:val="00CE61CC"/>
    <w:rsid w:val="00CF1253"/>
    <w:rsid w:val="00CF6978"/>
    <w:rsid w:val="00D50CB1"/>
    <w:rsid w:val="00D60D4E"/>
    <w:rsid w:val="00D63A03"/>
    <w:rsid w:val="00D84900"/>
    <w:rsid w:val="00D8594E"/>
    <w:rsid w:val="00D87ADC"/>
    <w:rsid w:val="00DA12BA"/>
    <w:rsid w:val="00DA3F1C"/>
    <w:rsid w:val="00DC6FF2"/>
    <w:rsid w:val="00DD5178"/>
    <w:rsid w:val="00DD7139"/>
    <w:rsid w:val="00DE3572"/>
    <w:rsid w:val="00DE6C94"/>
    <w:rsid w:val="00E07E90"/>
    <w:rsid w:val="00E110F3"/>
    <w:rsid w:val="00E241DA"/>
    <w:rsid w:val="00E33495"/>
    <w:rsid w:val="00E33CFA"/>
    <w:rsid w:val="00E452ED"/>
    <w:rsid w:val="00E46C42"/>
    <w:rsid w:val="00E50245"/>
    <w:rsid w:val="00E60D73"/>
    <w:rsid w:val="00E62D09"/>
    <w:rsid w:val="00E70950"/>
    <w:rsid w:val="00E808D5"/>
    <w:rsid w:val="00E94DAB"/>
    <w:rsid w:val="00E97920"/>
    <w:rsid w:val="00EA7915"/>
    <w:rsid w:val="00EC0BE1"/>
    <w:rsid w:val="00EC1705"/>
    <w:rsid w:val="00EF160E"/>
    <w:rsid w:val="00EF2304"/>
    <w:rsid w:val="00F02DD6"/>
    <w:rsid w:val="00F077D5"/>
    <w:rsid w:val="00F41511"/>
    <w:rsid w:val="00F423B8"/>
    <w:rsid w:val="00F47ECD"/>
    <w:rsid w:val="00F54E4C"/>
    <w:rsid w:val="00F57413"/>
    <w:rsid w:val="00F60CB7"/>
    <w:rsid w:val="00F673B1"/>
    <w:rsid w:val="00F82037"/>
    <w:rsid w:val="00F8578A"/>
    <w:rsid w:val="00F87EA2"/>
    <w:rsid w:val="00F961BC"/>
    <w:rsid w:val="00FA3A42"/>
    <w:rsid w:val="00FB2C9B"/>
    <w:rsid w:val="00FC0FA1"/>
    <w:rsid w:val="00FF326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9D9"/>
  </w:style>
  <w:style w:type="paragraph" w:styleId="Titre2">
    <w:name w:val="heading 2"/>
    <w:basedOn w:val="Normal"/>
    <w:link w:val="Titre2Car"/>
    <w:uiPriority w:val="9"/>
    <w:qFormat/>
    <w:rsid w:val="00124C3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F14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F14BC"/>
    <w:rPr>
      <w:rFonts w:ascii="Tahoma" w:hAnsi="Tahoma" w:cs="Tahoma"/>
      <w:sz w:val="16"/>
      <w:szCs w:val="16"/>
    </w:rPr>
  </w:style>
  <w:style w:type="character" w:styleId="Lienhypertexte">
    <w:name w:val="Hyperlink"/>
    <w:basedOn w:val="Policepardfaut"/>
    <w:uiPriority w:val="99"/>
    <w:unhideWhenUsed/>
    <w:rsid w:val="00BD6EB3"/>
    <w:rPr>
      <w:color w:val="0000FF" w:themeColor="hyperlink"/>
      <w:u w:val="single"/>
    </w:rPr>
  </w:style>
  <w:style w:type="character" w:customStyle="1" w:styleId="Titre2Car">
    <w:name w:val="Titre 2 Car"/>
    <w:basedOn w:val="Policepardfaut"/>
    <w:link w:val="Titre2"/>
    <w:uiPriority w:val="9"/>
    <w:rsid w:val="00124C39"/>
    <w:rPr>
      <w:rFonts w:ascii="Times New Roman" w:eastAsia="Times New Roman" w:hAnsi="Times New Roman" w:cs="Times New Roman"/>
      <w:b/>
      <w:bCs/>
      <w:sz w:val="36"/>
      <w:szCs w:val="36"/>
      <w:lang w:eastAsia="fr-FR"/>
    </w:rPr>
  </w:style>
  <w:style w:type="paragraph" w:styleId="Corpsdetexte">
    <w:name w:val="Body Text"/>
    <w:basedOn w:val="Normal"/>
    <w:link w:val="CorpsdetexteCar"/>
    <w:semiHidden/>
    <w:rsid w:val="008B5A8D"/>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sz w:val="20"/>
      <w:szCs w:val="20"/>
      <w:lang w:eastAsia="fr-FR"/>
    </w:rPr>
  </w:style>
  <w:style w:type="character" w:customStyle="1" w:styleId="CorpsdetexteCar">
    <w:name w:val="Corps de texte Car"/>
    <w:basedOn w:val="Policepardfaut"/>
    <w:link w:val="Corpsdetexte"/>
    <w:semiHidden/>
    <w:rsid w:val="008B5A8D"/>
    <w:rPr>
      <w:rFonts w:ascii="Times New Roman" w:eastAsia="Times New Roman" w:hAnsi="Times New Roman" w:cs="Times New Roman"/>
      <w:sz w:val="20"/>
      <w:szCs w:val="20"/>
      <w:shd w:val="clear" w:color="auto" w:fill="FFFFFF"/>
      <w:lang w:eastAsia="fr-FR"/>
    </w:rPr>
  </w:style>
  <w:style w:type="paragraph" w:customStyle="1" w:styleId="PARA1">
    <w:name w:val="PARA 1"/>
    <w:basedOn w:val="Normal"/>
    <w:rsid w:val="00B34F6A"/>
    <w:pPr>
      <w:tabs>
        <w:tab w:val="left" w:pos="709"/>
        <w:tab w:val="left" w:pos="1418"/>
        <w:tab w:val="left" w:pos="2127"/>
        <w:tab w:val="left" w:pos="2836"/>
      </w:tabs>
      <w:spacing w:after="0" w:line="240" w:lineRule="auto"/>
      <w:jc w:val="both"/>
    </w:pPr>
    <w:rPr>
      <w:rFonts w:ascii="Times New Roman" w:eastAsia="Times New Roman" w:hAnsi="Times New Roman" w:cs="Times New Roman"/>
      <w:sz w:val="24"/>
      <w:szCs w:val="20"/>
      <w:lang w:eastAsia="fr-FR"/>
    </w:rPr>
  </w:style>
  <w:style w:type="paragraph" w:customStyle="1" w:styleId="OmniPage1">
    <w:name w:val="OmniPage #1"/>
    <w:basedOn w:val="Normal"/>
    <w:rsid w:val="00B34F6A"/>
    <w:pPr>
      <w:spacing w:after="0" w:line="240" w:lineRule="exact"/>
    </w:pPr>
    <w:rPr>
      <w:rFonts w:ascii="Times New Roman" w:eastAsia="Times New Roman" w:hAnsi="Times New Roman" w:cs="Times New Roman"/>
      <w:sz w:val="20"/>
      <w:szCs w:val="20"/>
      <w:lang w:val="en-US" w:eastAsia="fr-FR"/>
    </w:rPr>
  </w:style>
  <w:style w:type="character" w:customStyle="1" w:styleId="apple-converted-space">
    <w:name w:val="apple-converted-space"/>
    <w:basedOn w:val="Policepardfaut"/>
    <w:rsid w:val="002B3547"/>
  </w:style>
  <w:style w:type="paragraph" w:styleId="NormalWeb">
    <w:name w:val="Normal (Web)"/>
    <w:basedOn w:val="Normal"/>
    <w:rsid w:val="008C29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itemenuvtxtrecherche">
    <w:name w:val="site_menuv_txt_recherche"/>
    <w:basedOn w:val="Normal"/>
    <w:rsid w:val="008C29B1"/>
    <w:pPr>
      <w:spacing w:after="0" w:line="144" w:lineRule="atLeast"/>
    </w:pPr>
    <w:rPr>
      <w:rFonts w:ascii="Verdana" w:eastAsia="Times New Roman" w:hAnsi="Verdana" w:cs="Times New Roman"/>
      <w:sz w:val="16"/>
      <w:szCs w:val="16"/>
      <w:lang w:val="en-US"/>
    </w:rPr>
  </w:style>
  <w:style w:type="paragraph" w:styleId="Paragraphedeliste">
    <w:name w:val="List Paragraph"/>
    <w:basedOn w:val="Normal"/>
    <w:uiPriority w:val="34"/>
    <w:qFormat/>
    <w:rsid w:val="005A30B2"/>
    <w:pPr>
      <w:ind w:left="720"/>
      <w:contextualSpacing/>
    </w:pPr>
  </w:style>
  <w:style w:type="paragraph" w:customStyle="1" w:styleId="Paragraphedeliste1">
    <w:name w:val="Paragraphe de liste1"/>
    <w:basedOn w:val="Normal"/>
    <w:rsid w:val="00033404"/>
    <w:pPr>
      <w:spacing w:after="0" w:line="240" w:lineRule="auto"/>
      <w:ind w:left="720" w:right="113"/>
      <w:contextualSpacing/>
    </w:pPr>
    <w:rPr>
      <w:rFonts w:ascii="Calibri" w:eastAsia="Times New Roman" w:hAnsi="Calibri" w:cs="Times New Roman"/>
    </w:rPr>
  </w:style>
  <w:style w:type="paragraph" w:styleId="En-tte">
    <w:name w:val="header"/>
    <w:basedOn w:val="Normal"/>
    <w:link w:val="En-tteCar"/>
    <w:uiPriority w:val="99"/>
    <w:unhideWhenUsed/>
    <w:rsid w:val="008C2916"/>
    <w:pPr>
      <w:tabs>
        <w:tab w:val="center" w:pos="4536"/>
        <w:tab w:val="right" w:pos="9072"/>
      </w:tabs>
      <w:spacing w:after="0" w:line="240" w:lineRule="auto"/>
    </w:pPr>
  </w:style>
  <w:style w:type="character" w:customStyle="1" w:styleId="En-tteCar">
    <w:name w:val="En-tête Car"/>
    <w:basedOn w:val="Policepardfaut"/>
    <w:link w:val="En-tte"/>
    <w:uiPriority w:val="99"/>
    <w:rsid w:val="008C2916"/>
  </w:style>
  <w:style w:type="paragraph" w:styleId="Pieddepage">
    <w:name w:val="footer"/>
    <w:basedOn w:val="Normal"/>
    <w:link w:val="PieddepageCar"/>
    <w:uiPriority w:val="99"/>
    <w:unhideWhenUsed/>
    <w:rsid w:val="008C29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2916"/>
  </w:style>
</w:styles>
</file>

<file path=word/webSettings.xml><?xml version="1.0" encoding="utf-8"?>
<w:webSettings xmlns:r="http://schemas.openxmlformats.org/officeDocument/2006/relationships" xmlns:w="http://schemas.openxmlformats.org/wordprocessingml/2006/main">
  <w:divs>
    <w:div w:id="23291074">
      <w:bodyDiv w:val="1"/>
      <w:marLeft w:val="0"/>
      <w:marRight w:val="0"/>
      <w:marTop w:val="0"/>
      <w:marBottom w:val="0"/>
      <w:divBdr>
        <w:top w:val="none" w:sz="0" w:space="0" w:color="auto"/>
        <w:left w:val="none" w:sz="0" w:space="0" w:color="auto"/>
        <w:bottom w:val="none" w:sz="0" w:space="0" w:color="auto"/>
        <w:right w:val="none" w:sz="0" w:space="0" w:color="auto"/>
      </w:divBdr>
    </w:div>
    <w:div w:id="33046075">
      <w:bodyDiv w:val="1"/>
      <w:marLeft w:val="0"/>
      <w:marRight w:val="0"/>
      <w:marTop w:val="0"/>
      <w:marBottom w:val="0"/>
      <w:divBdr>
        <w:top w:val="none" w:sz="0" w:space="0" w:color="auto"/>
        <w:left w:val="none" w:sz="0" w:space="0" w:color="auto"/>
        <w:bottom w:val="none" w:sz="0" w:space="0" w:color="auto"/>
        <w:right w:val="none" w:sz="0" w:space="0" w:color="auto"/>
      </w:divBdr>
    </w:div>
    <w:div w:id="81801457">
      <w:bodyDiv w:val="1"/>
      <w:marLeft w:val="0"/>
      <w:marRight w:val="0"/>
      <w:marTop w:val="0"/>
      <w:marBottom w:val="0"/>
      <w:divBdr>
        <w:top w:val="none" w:sz="0" w:space="0" w:color="auto"/>
        <w:left w:val="none" w:sz="0" w:space="0" w:color="auto"/>
        <w:bottom w:val="none" w:sz="0" w:space="0" w:color="auto"/>
        <w:right w:val="none" w:sz="0" w:space="0" w:color="auto"/>
      </w:divBdr>
    </w:div>
    <w:div w:id="1226264159">
      <w:bodyDiv w:val="1"/>
      <w:marLeft w:val="0"/>
      <w:marRight w:val="0"/>
      <w:marTop w:val="0"/>
      <w:marBottom w:val="0"/>
      <w:divBdr>
        <w:top w:val="none" w:sz="0" w:space="0" w:color="auto"/>
        <w:left w:val="none" w:sz="0" w:space="0" w:color="auto"/>
        <w:bottom w:val="none" w:sz="0" w:space="0" w:color="auto"/>
        <w:right w:val="none" w:sz="0" w:space="0" w:color="auto"/>
      </w:divBdr>
    </w:div>
    <w:div w:id="1530143924">
      <w:bodyDiv w:val="1"/>
      <w:marLeft w:val="0"/>
      <w:marRight w:val="0"/>
      <w:marTop w:val="0"/>
      <w:marBottom w:val="0"/>
      <w:divBdr>
        <w:top w:val="none" w:sz="0" w:space="0" w:color="auto"/>
        <w:left w:val="none" w:sz="0" w:space="0" w:color="auto"/>
        <w:bottom w:val="none" w:sz="0" w:space="0" w:color="auto"/>
        <w:right w:val="none" w:sz="0" w:space="0" w:color="auto"/>
      </w:divBdr>
      <w:divsChild>
        <w:div w:id="2117669456">
          <w:marLeft w:val="0"/>
          <w:marRight w:val="0"/>
          <w:marTop w:val="0"/>
          <w:marBottom w:val="0"/>
          <w:divBdr>
            <w:top w:val="none" w:sz="0" w:space="0" w:color="auto"/>
            <w:left w:val="none" w:sz="0" w:space="0" w:color="auto"/>
            <w:bottom w:val="none" w:sz="0" w:space="0" w:color="auto"/>
            <w:right w:val="none" w:sz="0" w:space="0" w:color="auto"/>
          </w:divBdr>
        </w:div>
        <w:div w:id="915866056">
          <w:marLeft w:val="0"/>
          <w:marRight w:val="0"/>
          <w:marTop w:val="0"/>
          <w:marBottom w:val="0"/>
          <w:divBdr>
            <w:top w:val="none" w:sz="0" w:space="0" w:color="auto"/>
            <w:left w:val="none" w:sz="0" w:space="0" w:color="auto"/>
            <w:bottom w:val="none" w:sz="0" w:space="0" w:color="auto"/>
            <w:right w:val="none" w:sz="0" w:space="0" w:color="auto"/>
          </w:divBdr>
          <w:divsChild>
            <w:div w:id="81801944">
              <w:marLeft w:val="0"/>
              <w:marRight w:val="0"/>
              <w:marTop w:val="0"/>
              <w:marBottom w:val="0"/>
              <w:divBdr>
                <w:top w:val="none" w:sz="0" w:space="0" w:color="auto"/>
                <w:left w:val="none" w:sz="0" w:space="0" w:color="auto"/>
                <w:bottom w:val="none" w:sz="0" w:space="0" w:color="auto"/>
                <w:right w:val="none" w:sz="0" w:space="0" w:color="auto"/>
              </w:divBdr>
            </w:div>
            <w:div w:id="505286603">
              <w:marLeft w:val="0"/>
              <w:marRight w:val="0"/>
              <w:marTop w:val="0"/>
              <w:marBottom w:val="0"/>
              <w:divBdr>
                <w:top w:val="none" w:sz="0" w:space="0" w:color="auto"/>
                <w:left w:val="none" w:sz="0" w:space="0" w:color="auto"/>
                <w:bottom w:val="none" w:sz="0" w:space="0" w:color="auto"/>
                <w:right w:val="none" w:sz="0" w:space="0" w:color="auto"/>
              </w:divBdr>
            </w:div>
            <w:div w:id="1851328666">
              <w:marLeft w:val="0"/>
              <w:marRight w:val="0"/>
              <w:marTop w:val="0"/>
              <w:marBottom w:val="0"/>
              <w:divBdr>
                <w:top w:val="none" w:sz="0" w:space="0" w:color="auto"/>
                <w:left w:val="none" w:sz="0" w:space="0" w:color="auto"/>
                <w:bottom w:val="none" w:sz="0" w:space="0" w:color="auto"/>
                <w:right w:val="none" w:sz="0" w:space="0" w:color="auto"/>
              </w:divBdr>
            </w:div>
            <w:div w:id="70858070">
              <w:marLeft w:val="0"/>
              <w:marRight w:val="0"/>
              <w:marTop w:val="0"/>
              <w:marBottom w:val="0"/>
              <w:divBdr>
                <w:top w:val="none" w:sz="0" w:space="0" w:color="auto"/>
                <w:left w:val="none" w:sz="0" w:space="0" w:color="auto"/>
                <w:bottom w:val="none" w:sz="0" w:space="0" w:color="auto"/>
                <w:right w:val="none" w:sz="0" w:space="0" w:color="auto"/>
              </w:divBdr>
            </w:div>
            <w:div w:id="743719733">
              <w:marLeft w:val="0"/>
              <w:marRight w:val="0"/>
              <w:marTop w:val="0"/>
              <w:marBottom w:val="0"/>
              <w:divBdr>
                <w:top w:val="none" w:sz="0" w:space="0" w:color="auto"/>
                <w:left w:val="none" w:sz="0" w:space="0" w:color="auto"/>
                <w:bottom w:val="none" w:sz="0" w:space="0" w:color="auto"/>
                <w:right w:val="none" w:sz="0" w:space="0" w:color="auto"/>
              </w:divBdr>
            </w:div>
            <w:div w:id="1728138082">
              <w:marLeft w:val="0"/>
              <w:marRight w:val="0"/>
              <w:marTop w:val="0"/>
              <w:marBottom w:val="0"/>
              <w:divBdr>
                <w:top w:val="none" w:sz="0" w:space="0" w:color="auto"/>
                <w:left w:val="none" w:sz="0" w:space="0" w:color="auto"/>
                <w:bottom w:val="none" w:sz="0" w:space="0" w:color="auto"/>
                <w:right w:val="none" w:sz="0" w:space="0" w:color="auto"/>
              </w:divBdr>
            </w:div>
            <w:div w:id="291908582">
              <w:marLeft w:val="0"/>
              <w:marRight w:val="0"/>
              <w:marTop w:val="0"/>
              <w:marBottom w:val="0"/>
              <w:divBdr>
                <w:top w:val="none" w:sz="0" w:space="0" w:color="auto"/>
                <w:left w:val="none" w:sz="0" w:space="0" w:color="auto"/>
                <w:bottom w:val="none" w:sz="0" w:space="0" w:color="auto"/>
                <w:right w:val="none" w:sz="0" w:space="0" w:color="auto"/>
              </w:divBdr>
            </w:div>
            <w:div w:id="837812391">
              <w:marLeft w:val="0"/>
              <w:marRight w:val="0"/>
              <w:marTop w:val="0"/>
              <w:marBottom w:val="0"/>
              <w:divBdr>
                <w:top w:val="none" w:sz="0" w:space="0" w:color="auto"/>
                <w:left w:val="none" w:sz="0" w:space="0" w:color="auto"/>
                <w:bottom w:val="none" w:sz="0" w:space="0" w:color="auto"/>
                <w:right w:val="none" w:sz="0" w:space="0" w:color="auto"/>
              </w:divBdr>
            </w:div>
            <w:div w:id="17958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87167">
      <w:bodyDiv w:val="1"/>
      <w:marLeft w:val="0"/>
      <w:marRight w:val="0"/>
      <w:marTop w:val="0"/>
      <w:marBottom w:val="0"/>
      <w:divBdr>
        <w:top w:val="none" w:sz="0" w:space="0" w:color="auto"/>
        <w:left w:val="none" w:sz="0" w:space="0" w:color="auto"/>
        <w:bottom w:val="none" w:sz="0" w:space="0" w:color="auto"/>
        <w:right w:val="none" w:sz="0" w:space="0" w:color="auto"/>
      </w:divBdr>
    </w:div>
    <w:div w:id="213837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idArticle=LEGIARTI000021601270&amp;cidTexte=LEGITEXT000006069577&amp;categorieLien=id&amp;dateTexte=20100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ofip.impots.gouv.fr/bofip/1666-PGP.html" TargetMode="External"/><Relationship Id="rId4" Type="http://schemas.openxmlformats.org/officeDocument/2006/relationships/settings" Target="settings.xml"/><Relationship Id="rId9" Type="http://schemas.openxmlformats.org/officeDocument/2006/relationships/hyperlink" Target="http://www.legifrance.gouv.fr/affichCodeArticle.do?idArticle=LEGIARTI000021629552&amp;cidTexte=LEGITEXT000006069577&amp;categorieLien=id&amp;dateTexte=201001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1B42C-9C31-4F36-8C7D-7E2E4D3E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1802</Words>
  <Characters>9916</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Desaint</dc:creator>
  <cp:lastModifiedBy>admin</cp:lastModifiedBy>
  <cp:revision>81</cp:revision>
  <dcterms:created xsi:type="dcterms:W3CDTF">2015-04-17T20:38:00Z</dcterms:created>
  <dcterms:modified xsi:type="dcterms:W3CDTF">2017-03-12T17:27:00Z</dcterms:modified>
</cp:coreProperties>
</file>